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CCC" w:rsidRPr="000D493B" w:rsidRDefault="001F4526" w:rsidP="001F4526">
      <w:pPr>
        <w:jc w:val="center"/>
        <w:rPr>
          <w:b/>
          <w:smallCaps/>
        </w:rPr>
      </w:pPr>
      <w:r w:rsidRPr="000D493B">
        <w:rPr>
          <w:b/>
          <w:smallCaps/>
        </w:rPr>
        <w:t xml:space="preserve">News </w:t>
      </w:r>
      <w:r w:rsidR="003A26B6" w:rsidRPr="000D493B">
        <w:rPr>
          <w:b/>
          <w:smallCaps/>
        </w:rPr>
        <w:t xml:space="preserve">Decreto Legislativo </w:t>
      </w:r>
      <w:r w:rsidR="004372EF">
        <w:rPr>
          <w:b/>
          <w:smallCaps/>
        </w:rPr>
        <w:t>4 marzo 2015 n.23</w:t>
      </w:r>
      <w:r w:rsidR="000D493B" w:rsidRPr="000D493B">
        <w:rPr>
          <w:b/>
          <w:smallCaps/>
        </w:rPr>
        <w:t xml:space="preserve"> </w:t>
      </w:r>
      <w:r w:rsidR="000D493B">
        <w:rPr>
          <w:b/>
          <w:smallCaps/>
        </w:rPr>
        <w:t xml:space="preserve">recante disposizioni in materia di </w:t>
      </w:r>
      <w:r w:rsidR="003A26B6" w:rsidRPr="000D493B">
        <w:rPr>
          <w:b/>
          <w:smallCaps/>
        </w:rPr>
        <w:t xml:space="preserve">contratto </w:t>
      </w:r>
      <w:r w:rsidR="000D493B">
        <w:rPr>
          <w:b/>
          <w:smallCaps/>
        </w:rPr>
        <w:t xml:space="preserve">di lavoro a tempo indeterminato </w:t>
      </w:r>
      <w:r w:rsidR="003A26B6" w:rsidRPr="000D493B">
        <w:rPr>
          <w:b/>
          <w:smallCaps/>
        </w:rPr>
        <w:t>a tutele crescenti.</w:t>
      </w:r>
    </w:p>
    <w:p w:rsidR="000D493B" w:rsidRDefault="000D493B" w:rsidP="003A26B6"/>
    <w:p w:rsidR="0096273B" w:rsidRDefault="0096273B" w:rsidP="003A26B6"/>
    <w:sdt>
      <w:sdtPr>
        <w:rPr>
          <w:rFonts w:ascii="Arial" w:eastAsiaTheme="minorHAnsi" w:hAnsi="Arial" w:cstheme="minorBidi"/>
          <w:b w:val="0"/>
          <w:bCs w:val="0"/>
          <w:color w:val="auto"/>
          <w:sz w:val="24"/>
          <w:szCs w:val="22"/>
        </w:rPr>
        <w:id w:val="38728107"/>
        <w:docPartObj>
          <w:docPartGallery w:val="Table of Contents"/>
          <w:docPartUnique/>
        </w:docPartObj>
      </w:sdtPr>
      <w:sdtContent>
        <w:p w:rsidR="002E66D0" w:rsidRDefault="002E66D0" w:rsidP="000D493B">
          <w:pPr>
            <w:pStyle w:val="Titolosommario"/>
            <w:spacing w:after="360"/>
          </w:pPr>
          <w:r>
            <w:t>Sommario</w:t>
          </w:r>
        </w:p>
        <w:p w:rsidR="000D493B" w:rsidRDefault="00484F51" w:rsidP="000D493B">
          <w:pPr>
            <w:pStyle w:val="Sommario1"/>
            <w:spacing w:after="360"/>
            <w:rPr>
              <w:rFonts w:asciiTheme="minorHAnsi" w:eastAsiaTheme="minorEastAsia" w:hAnsiTheme="minorHAnsi"/>
              <w:noProof/>
              <w:sz w:val="22"/>
              <w:lang w:eastAsia="it-IT"/>
            </w:rPr>
          </w:pPr>
          <w:r>
            <w:fldChar w:fldCharType="begin"/>
          </w:r>
          <w:r w:rsidR="002E66D0">
            <w:instrText xml:space="preserve"> TOC \o "1-3" \h \z \u </w:instrText>
          </w:r>
          <w:r>
            <w:fldChar w:fldCharType="separate"/>
          </w:r>
          <w:hyperlink w:anchor="_Toc413232541" w:history="1">
            <w:r w:rsidR="000D493B" w:rsidRPr="00922D6A">
              <w:rPr>
                <w:rStyle w:val="Collegamentoipertestuale"/>
                <w:noProof/>
              </w:rPr>
              <w:t>1.</w:t>
            </w:r>
            <w:r w:rsidR="000D493B">
              <w:rPr>
                <w:rFonts w:asciiTheme="minorHAnsi" w:eastAsiaTheme="minorEastAsia" w:hAnsiTheme="minorHAnsi"/>
                <w:noProof/>
                <w:sz w:val="22"/>
                <w:lang w:eastAsia="it-IT"/>
              </w:rPr>
              <w:tab/>
            </w:r>
            <w:r w:rsidR="000D493B" w:rsidRPr="00922D6A">
              <w:rPr>
                <w:rStyle w:val="Collegamentoipertestuale"/>
                <w:noProof/>
              </w:rPr>
              <w:t>Premessa.</w:t>
            </w:r>
            <w:r w:rsidR="000D493B">
              <w:rPr>
                <w:noProof/>
                <w:webHidden/>
              </w:rPr>
              <w:tab/>
            </w:r>
            <w:r>
              <w:rPr>
                <w:noProof/>
                <w:webHidden/>
              </w:rPr>
              <w:fldChar w:fldCharType="begin"/>
            </w:r>
            <w:r w:rsidR="000D493B">
              <w:rPr>
                <w:noProof/>
                <w:webHidden/>
              </w:rPr>
              <w:instrText xml:space="preserve"> PAGEREF _Toc413232541 \h </w:instrText>
            </w:r>
            <w:r>
              <w:rPr>
                <w:noProof/>
                <w:webHidden/>
              </w:rPr>
            </w:r>
            <w:r>
              <w:rPr>
                <w:noProof/>
                <w:webHidden/>
              </w:rPr>
              <w:fldChar w:fldCharType="separate"/>
            </w:r>
            <w:r w:rsidR="002A4568">
              <w:rPr>
                <w:noProof/>
                <w:webHidden/>
              </w:rPr>
              <w:t>2</w:t>
            </w:r>
            <w:r>
              <w:rPr>
                <w:noProof/>
                <w:webHidden/>
              </w:rPr>
              <w:fldChar w:fldCharType="end"/>
            </w:r>
          </w:hyperlink>
        </w:p>
        <w:p w:rsidR="000D493B" w:rsidRDefault="00484F51" w:rsidP="000D493B">
          <w:pPr>
            <w:pStyle w:val="Sommario1"/>
            <w:spacing w:after="360"/>
            <w:rPr>
              <w:rFonts w:asciiTheme="minorHAnsi" w:eastAsiaTheme="minorEastAsia" w:hAnsiTheme="minorHAnsi"/>
              <w:noProof/>
              <w:sz w:val="22"/>
              <w:lang w:eastAsia="it-IT"/>
            </w:rPr>
          </w:pPr>
          <w:hyperlink w:anchor="_Toc413232542" w:history="1">
            <w:r w:rsidR="000D493B" w:rsidRPr="00922D6A">
              <w:rPr>
                <w:rStyle w:val="Collegamentoipertestuale"/>
                <w:noProof/>
              </w:rPr>
              <w:t>2.</w:t>
            </w:r>
            <w:r w:rsidR="000D493B">
              <w:rPr>
                <w:rFonts w:asciiTheme="minorHAnsi" w:eastAsiaTheme="minorEastAsia" w:hAnsiTheme="minorHAnsi"/>
                <w:noProof/>
                <w:sz w:val="22"/>
                <w:lang w:eastAsia="it-IT"/>
              </w:rPr>
              <w:tab/>
            </w:r>
            <w:r w:rsidR="000D493B" w:rsidRPr="00922D6A">
              <w:rPr>
                <w:rStyle w:val="Collegamentoipertestuale"/>
                <w:noProof/>
              </w:rPr>
              <w:t>Campo di applicazione (art. 1).</w:t>
            </w:r>
            <w:r w:rsidR="000D493B">
              <w:rPr>
                <w:noProof/>
                <w:webHidden/>
              </w:rPr>
              <w:tab/>
            </w:r>
            <w:r>
              <w:rPr>
                <w:noProof/>
                <w:webHidden/>
              </w:rPr>
              <w:fldChar w:fldCharType="begin"/>
            </w:r>
            <w:r w:rsidR="000D493B">
              <w:rPr>
                <w:noProof/>
                <w:webHidden/>
              </w:rPr>
              <w:instrText xml:space="preserve"> PAGEREF _Toc413232542 \h </w:instrText>
            </w:r>
            <w:r>
              <w:rPr>
                <w:noProof/>
                <w:webHidden/>
              </w:rPr>
            </w:r>
            <w:r>
              <w:rPr>
                <w:noProof/>
                <w:webHidden/>
              </w:rPr>
              <w:fldChar w:fldCharType="separate"/>
            </w:r>
            <w:r w:rsidR="002A4568">
              <w:rPr>
                <w:noProof/>
                <w:webHidden/>
              </w:rPr>
              <w:t>2</w:t>
            </w:r>
            <w:r>
              <w:rPr>
                <w:noProof/>
                <w:webHidden/>
              </w:rPr>
              <w:fldChar w:fldCharType="end"/>
            </w:r>
          </w:hyperlink>
        </w:p>
        <w:p w:rsidR="000D493B" w:rsidRDefault="00484F51" w:rsidP="000D493B">
          <w:pPr>
            <w:pStyle w:val="Sommario1"/>
            <w:spacing w:after="360"/>
            <w:rPr>
              <w:rFonts w:asciiTheme="minorHAnsi" w:eastAsiaTheme="minorEastAsia" w:hAnsiTheme="minorHAnsi"/>
              <w:noProof/>
              <w:sz w:val="22"/>
              <w:lang w:eastAsia="it-IT"/>
            </w:rPr>
          </w:pPr>
          <w:hyperlink w:anchor="_Toc413232543" w:history="1">
            <w:r w:rsidR="000D493B" w:rsidRPr="00922D6A">
              <w:rPr>
                <w:rStyle w:val="Collegamentoipertestuale"/>
                <w:noProof/>
              </w:rPr>
              <w:t>3.</w:t>
            </w:r>
            <w:r w:rsidR="000D493B">
              <w:rPr>
                <w:rFonts w:asciiTheme="minorHAnsi" w:eastAsiaTheme="minorEastAsia" w:hAnsiTheme="minorHAnsi"/>
                <w:noProof/>
                <w:sz w:val="22"/>
                <w:lang w:eastAsia="it-IT"/>
              </w:rPr>
              <w:tab/>
            </w:r>
            <w:r w:rsidR="000D493B" w:rsidRPr="00922D6A">
              <w:rPr>
                <w:rStyle w:val="Collegamentoipertestuale"/>
                <w:noProof/>
              </w:rPr>
              <w:t>Nuovo regime sanzionatorio del licenziamento illegittimo e disposizioni generali (artt. 5, 7 e 8).</w:t>
            </w:r>
            <w:r w:rsidR="000D493B">
              <w:rPr>
                <w:noProof/>
                <w:webHidden/>
              </w:rPr>
              <w:tab/>
            </w:r>
            <w:r>
              <w:rPr>
                <w:noProof/>
                <w:webHidden/>
              </w:rPr>
              <w:fldChar w:fldCharType="begin"/>
            </w:r>
            <w:r w:rsidR="000D493B">
              <w:rPr>
                <w:noProof/>
                <w:webHidden/>
              </w:rPr>
              <w:instrText xml:space="preserve"> PAGEREF _Toc413232543 \h </w:instrText>
            </w:r>
            <w:r>
              <w:rPr>
                <w:noProof/>
                <w:webHidden/>
              </w:rPr>
            </w:r>
            <w:r>
              <w:rPr>
                <w:noProof/>
                <w:webHidden/>
              </w:rPr>
              <w:fldChar w:fldCharType="separate"/>
            </w:r>
            <w:r w:rsidR="002A4568">
              <w:rPr>
                <w:noProof/>
                <w:webHidden/>
              </w:rPr>
              <w:t>5</w:t>
            </w:r>
            <w:r>
              <w:rPr>
                <w:noProof/>
                <w:webHidden/>
              </w:rPr>
              <w:fldChar w:fldCharType="end"/>
            </w:r>
          </w:hyperlink>
        </w:p>
        <w:p w:rsidR="000D493B" w:rsidRDefault="00484F51" w:rsidP="000D493B">
          <w:pPr>
            <w:pStyle w:val="Sommario2"/>
            <w:tabs>
              <w:tab w:val="left" w:pos="880"/>
              <w:tab w:val="right" w:leader="dot" w:pos="9628"/>
            </w:tabs>
            <w:spacing w:after="360"/>
            <w:rPr>
              <w:rFonts w:asciiTheme="minorHAnsi" w:eastAsiaTheme="minorEastAsia" w:hAnsiTheme="minorHAnsi"/>
              <w:noProof/>
              <w:sz w:val="22"/>
              <w:lang w:eastAsia="it-IT"/>
            </w:rPr>
          </w:pPr>
          <w:hyperlink w:anchor="_Toc413232544" w:history="1">
            <w:r w:rsidR="000D493B" w:rsidRPr="00922D6A">
              <w:rPr>
                <w:rStyle w:val="Collegamentoipertestuale"/>
                <w:noProof/>
              </w:rPr>
              <w:t>2.1</w:t>
            </w:r>
            <w:r w:rsidR="000D493B">
              <w:rPr>
                <w:rFonts w:asciiTheme="minorHAnsi" w:eastAsiaTheme="minorEastAsia" w:hAnsiTheme="minorHAnsi"/>
                <w:noProof/>
                <w:sz w:val="22"/>
                <w:lang w:eastAsia="it-IT"/>
              </w:rPr>
              <w:tab/>
            </w:r>
            <w:r w:rsidR="000D493B" w:rsidRPr="00922D6A">
              <w:rPr>
                <w:rStyle w:val="Collegamentoipertestuale"/>
                <w:noProof/>
              </w:rPr>
              <w:t>Licenziamento discriminatorio, nullo o orale (art. 2).</w:t>
            </w:r>
            <w:r w:rsidR="000D493B">
              <w:rPr>
                <w:noProof/>
                <w:webHidden/>
              </w:rPr>
              <w:tab/>
            </w:r>
            <w:r>
              <w:rPr>
                <w:noProof/>
                <w:webHidden/>
              </w:rPr>
              <w:fldChar w:fldCharType="begin"/>
            </w:r>
            <w:r w:rsidR="000D493B">
              <w:rPr>
                <w:noProof/>
                <w:webHidden/>
              </w:rPr>
              <w:instrText xml:space="preserve"> PAGEREF _Toc413232544 \h </w:instrText>
            </w:r>
            <w:r>
              <w:rPr>
                <w:noProof/>
                <w:webHidden/>
              </w:rPr>
            </w:r>
            <w:r>
              <w:rPr>
                <w:noProof/>
                <w:webHidden/>
              </w:rPr>
              <w:fldChar w:fldCharType="separate"/>
            </w:r>
            <w:r w:rsidR="002A4568">
              <w:rPr>
                <w:noProof/>
                <w:webHidden/>
              </w:rPr>
              <w:t>8</w:t>
            </w:r>
            <w:r>
              <w:rPr>
                <w:noProof/>
                <w:webHidden/>
              </w:rPr>
              <w:fldChar w:fldCharType="end"/>
            </w:r>
          </w:hyperlink>
        </w:p>
        <w:p w:rsidR="000D493B" w:rsidRDefault="00484F51" w:rsidP="000D493B">
          <w:pPr>
            <w:pStyle w:val="Sommario2"/>
            <w:tabs>
              <w:tab w:val="left" w:pos="880"/>
              <w:tab w:val="right" w:leader="dot" w:pos="9628"/>
            </w:tabs>
            <w:spacing w:after="360"/>
            <w:rPr>
              <w:rFonts w:asciiTheme="minorHAnsi" w:eastAsiaTheme="minorEastAsia" w:hAnsiTheme="minorHAnsi"/>
              <w:noProof/>
              <w:sz w:val="22"/>
              <w:lang w:eastAsia="it-IT"/>
            </w:rPr>
          </w:pPr>
          <w:hyperlink w:anchor="_Toc413232545" w:history="1">
            <w:r w:rsidR="000D493B" w:rsidRPr="00922D6A">
              <w:rPr>
                <w:rStyle w:val="Collegamentoipertestuale"/>
                <w:noProof/>
              </w:rPr>
              <w:t>2.2</w:t>
            </w:r>
            <w:r w:rsidR="000D493B">
              <w:rPr>
                <w:rFonts w:asciiTheme="minorHAnsi" w:eastAsiaTheme="minorEastAsia" w:hAnsiTheme="minorHAnsi"/>
                <w:noProof/>
                <w:sz w:val="22"/>
                <w:lang w:eastAsia="it-IT"/>
              </w:rPr>
              <w:tab/>
            </w:r>
            <w:r w:rsidR="000D493B" w:rsidRPr="00922D6A">
              <w:rPr>
                <w:rStyle w:val="Collegamentoipertestuale"/>
                <w:noProof/>
              </w:rPr>
              <w:t>Licenziamento per giustificato motivo e giusta causa (art. 3).</w:t>
            </w:r>
            <w:r w:rsidR="000D493B">
              <w:rPr>
                <w:noProof/>
                <w:webHidden/>
              </w:rPr>
              <w:tab/>
            </w:r>
            <w:r>
              <w:rPr>
                <w:noProof/>
                <w:webHidden/>
              </w:rPr>
              <w:fldChar w:fldCharType="begin"/>
            </w:r>
            <w:r w:rsidR="000D493B">
              <w:rPr>
                <w:noProof/>
                <w:webHidden/>
              </w:rPr>
              <w:instrText xml:space="preserve"> PAGEREF _Toc413232545 \h </w:instrText>
            </w:r>
            <w:r>
              <w:rPr>
                <w:noProof/>
                <w:webHidden/>
              </w:rPr>
            </w:r>
            <w:r>
              <w:rPr>
                <w:noProof/>
                <w:webHidden/>
              </w:rPr>
              <w:fldChar w:fldCharType="separate"/>
            </w:r>
            <w:r w:rsidR="002A4568">
              <w:rPr>
                <w:noProof/>
                <w:webHidden/>
              </w:rPr>
              <w:t>10</w:t>
            </w:r>
            <w:r>
              <w:rPr>
                <w:noProof/>
                <w:webHidden/>
              </w:rPr>
              <w:fldChar w:fldCharType="end"/>
            </w:r>
          </w:hyperlink>
        </w:p>
        <w:p w:rsidR="000D493B" w:rsidRDefault="00484F51" w:rsidP="000D493B">
          <w:pPr>
            <w:pStyle w:val="Sommario2"/>
            <w:tabs>
              <w:tab w:val="left" w:pos="880"/>
              <w:tab w:val="right" w:leader="dot" w:pos="9628"/>
            </w:tabs>
            <w:spacing w:after="360"/>
            <w:rPr>
              <w:rFonts w:asciiTheme="minorHAnsi" w:eastAsiaTheme="minorEastAsia" w:hAnsiTheme="minorHAnsi"/>
              <w:noProof/>
              <w:sz w:val="22"/>
              <w:lang w:eastAsia="it-IT"/>
            </w:rPr>
          </w:pPr>
          <w:hyperlink w:anchor="_Toc413232546" w:history="1">
            <w:r w:rsidR="000D493B" w:rsidRPr="00922D6A">
              <w:rPr>
                <w:rStyle w:val="Collegamentoipertestuale"/>
                <w:noProof/>
              </w:rPr>
              <w:t>2.3</w:t>
            </w:r>
            <w:r w:rsidR="000D493B">
              <w:rPr>
                <w:rFonts w:asciiTheme="minorHAnsi" w:eastAsiaTheme="minorEastAsia" w:hAnsiTheme="minorHAnsi"/>
                <w:noProof/>
                <w:sz w:val="22"/>
                <w:lang w:eastAsia="it-IT"/>
              </w:rPr>
              <w:tab/>
            </w:r>
            <w:r w:rsidR="000D493B" w:rsidRPr="00922D6A">
              <w:rPr>
                <w:rStyle w:val="Collegamentoipertestuale"/>
                <w:noProof/>
              </w:rPr>
              <w:t>Vizi formali e procedurali (art. 4).</w:t>
            </w:r>
            <w:r w:rsidR="000D493B">
              <w:rPr>
                <w:noProof/>
                <w:webHidden/>
              </w:rPr>
              <w:tab/>
            </w:r>
            <w:r>
              <w:rPr>
                <w:noProof/>
                <w:webHidden/>
              </w:rPr>
              <w:fldChar w:fldCharType="begin"/>
            </w:r>
            <w:r w:rsidR="000D493B">
              <w:rPr>
                <w:noProof/>
                <w:webHidden/>
              </w:rPr>
              <w:instrText xml:space="preserve"> PAGEREF _Toc413232546 \h </w:instrText>
            </w:r>
            <w:r>
              <w:rPr>
                <w:noProof/>
                <w:webHidden/>
              </w:rPr>
            </w:r>
            <w:r>
              <w:rPr>
                <w:noProof/>
                <w:webHidden/>
              </w:rPr>
              <w:fldChar w:fldCharType="separate"/>
            </w:r>
            <w:r w:rsidR="002A4568">
              <w:rPr>
                <w:noProof/>
                <w:webHidden/>
              </w:rPr>
              <w:t>12</w:t>
            </w:r>
            <w:r>
              <w:rPr>
                <w:noProof/>
                <w:webHidden/>
              </w:rPr>
              <w:fldChar w:fldCharType="end"/>
            </w:r>
          </w:hyperlink>
        </w:p>
        <w:p w:rsidR="000D493B" w:rsidRDefault="00484F51" w:rsidP="000D493B">
          <w:pPr>
            <w:pStyle w:val="Sommario2"/>
            <w:tabs>
              <w:tab w:val="left" w:pos="880"/>
              <w:tab w:val="right" w:leader="dot" w:pos="9628"/>
            </w:tabs>
            <w:spacing w:after="360"/>
            <w:rPr>
              <w:rFonts w:asciiTheme="minorHAnsi" w:eastAsiaTheme="minorEastAsia" w:hAnsiTheme="minorHAnsi"/>
              <w:noProof/>
              <w:sz w:val="22"/>
              <w:lang w:eastAsia="it-IT"/>
            </w:rPr>
          </w:pPr>
          <w:hyperlink w:anchor="_Toc413232547" w:history="1">
            <w:r w:rsidR="000D493B" w:rsidRPr="00922D6A">
              <w:rPr>
                <w:rStyle w:val="Collegamentoipertestuale"/>
                <w:noProof/>
              </w:rPr>
              <w:t>2.4</w:t>
            </w:r>
            <w:r w:rsidR="000D493B">
              <w:rPr>
                <w:rFonts w:asciiTheme="minorHAnsi" w:eastAsiaTheme="minorEastAsia" w:hAnsiTheme="minorHAnsi"/>
                <w:noProof/>
                <w:sz w:val="22"/>
                <w:lang w:eastAsia="it-IT"/>
              </w:rPr>
              <w:tab/>
            </w:r>
            <w:r w:rsidR="000D493B" w:rsidRPr="00922D6A">
              <w:rPr>
                <w:rStyle w:val="Collegamentoipertestuale"/>
                <w:noProof/>
              </w:rPr>
              <w:t>Licenziamento collettivo (art. 10).</w:t>
            </w:r>
            <w:r w:rsidR="000D493B">
              <w:rPr>
                <w:noProof/>
                <w:webHidden/>
              </w:rPr>
              <w:tab/>
            </w:r>
            <w:r>
              <w:rPr>
                <w:noProof/>
                <w:webHidden/>
              </w:rPr>
              <w:fldChar w:fldCharType="begin"/>
            </w:r>
            <w:r w:rsidR="000D493B">
              <w:rPr>
                <w:noProof/>
                <w:webHidden/>
              </w:rPr>
              <w:instrText xml:space="preserve"> PAGEREF _Toc413232547 \h </w:instrText>
            </w:r>
            <w:r>
              <w:rPr>
                <w:noProof/>
                <w:webHidden/>
              </w:rPr>
            </w:r>
            <w:r>
              <w:rPr>
                <w:noProof/>
                <w:webHidden/>
              </w:rPr>
              <w:fldChar w:fldCharType="separate"/>
            </w:r>
            <w:r w:rsidR="002A4568">
              <w:rPr>
                <w:noProof/>
                <w:webHidden/>
              </w:rPr>
              <w:t>12</w:t>
            </w:r>
            <w:r>
              <w:rPr>
                <w:noProof/>
                <w:webHidden/>
              </w:rPr>
              <w:fldChar w:fldCharType="end"/>
            </w:r>
          </w:hyperlink>
        </w:p>
        <w:p w:rsidR="000D493B" w:rsidRDefault="00484F51" w:rsidP="000D493B">
          <w:pPr>
            <w:pStyle w:val="Sommario1"/>
            <w:spacing w:after="360"/>
            <w:rPr>
              <w:rFonts w:asciiTheme="minorHAnsi" w:eastAsiaTheme="minorEastAsia" w:hAnsiTheme="minorHAnsi"/>
              <w:noProof/>
              <w:sz w:val="22"/>
              <w:lang w:eastAsia="it-IT"/>
            </w:rPr>
          </w:pPr>
          <w:hyperlink w:anchor="_Toc413232548" w:history="1">
            <w:r w:rsidR="000D493B" w:rsidRPr="00922D6A">
              <w:rPr>
                <w:rStyle w:val="Collegamentoipertestuale"/>
                <w:noProof/>
              </w:rPr>
              <w:t>4.</w:t>
            </w:r>
            <w:r w:rsidR="000D493B">
              <w:rPr>
                <w:rFonts w:asciiTheme="minorHAnsi" w:eastAsiaTheme="minorEastAsia" w:hAnsiTheme="minorHAnsi"/>
                <w:noProof/>
                <w:sz w:val="22"/>
                <w:lang w:eastAsia="it-IT"/>
              </w:rPr>
              <w:tab/>
            </w:r>
            <w:r w:rsidR="000D493B" w:rsidRPr="00922D6A">
              <w:rPr>
                <w:rStyle w:val="Collegamentoipertestuale"/>
                <w:noProof/>
              </w:rPr>
              <w:t>Offerta di conciliazione (art. 6).</w:t>
            </w:r>
            <w:r w:rsidR="000D493B">
              <w:rPr>
                <w:noProof/>
                <w:webHidden/>
              </w:rPr>
              <w:tab/>
            </w:r>
            <w:r>
              <w:rPr>
                <w:noProof/>
                <w:webHidden/>
              </w:rPr>
              <w:fldChar w:fldCharType="begin"/>
            </w:r>
            <w:r w:rsidR="000D493B">
              <w:rPr>
                <w:noProof/>
                <w:webHidden/>
              </w:rPr>
              <w:instrText xml:space="preserve"> PAGEREF _Toc413232548 \h </w:instrText>
            </w:r>
            <w:r>
              <w:rPr>
                <w:noProof/>
                <w:webHidden/>
              </w:rPr>
            </w:r>
            <w:r>
              <w:rPr>
                <w:noProof/>
                <w:webHidden/>
              </w:rPr>
              <w:fldChar w:fldCharType="separate"/>
            </w:r>
            <w:r w:rsidR="002A4568">
              <w:rPr>
                <w:noProof/>
                <w:webHidden/>
              </w:rPr>
              <w:t>12</w:t>
            </w:r>
            <w:r>
              <w:rPr>
                <w:noProof/>
                <w:webHidden/>
              </w:rPr>
              <w:fldChar w:fldCharType="end"/>
            </w:r>
          </w:hyperlink>
        </w:p>
        <w:p w:rsidR="000D493B" w:rsidRDefault="00484F51" w:rsidP="000D493B">
          <w:pPr>
            <w:pStyle w:val="Sommario1"/>
            <w:spacing w:after="360"/>
            <w:rPr>
              <w:rFonts w:asciiTheme="minorHAnsi" w:eastAsiaTheme="minorEastAsia" w:hAnsiTheme="minorHAnsi"/>
              <w:noProof/>
              <w:sz w:val="22"/>
              <w:lang w:eastAsia="it-IT"/>
            </w:rPr>
          </w:pPr>
          <w:hyperlink w:anchor="_Toc413232549" w:history="1">
            <w:r w:rsidR="000D493B" w:rsidRPr="00922D6A">
              <w:rPr>
                <w:rStyle w:val="Collegamentoipertestuale"/>
                <w:noProof/>
              </w:rPr>
              <w:t>5.</w:t>
            </w:r>
            <w:r w:rsidR="000D493B">
              <w:rPr>
                <w:rFonts w:asciiTheme="minorHAnsi" w:eastAsiaTheme="minorEastAsia" w:hAnsiTheme="minorHAnsi"/>
                <w:noProof/>
                <w:sz w:val="22"/>
                <w:lang w:eastAsia="it-IT"/>
              </w:rPr>
              <w:tab/>
            </w:r>
            <w:r w:rsidR="000D493B" w:rsidRPr="00922D6A">
              <w:rPr>
                <w:rStyle w:val="Collegamentoipertestuale"/>
                <w:noProof/>
              </w:rPr>
              <w:t>Piccole imprese e organizzazioni di tendenza (art. 9).</w:t>
            </w:r>
            <w:r w:rsidR="000D493B">
              <w:rPr>
                <w:noProof/>
                <w:webHidden/>
              </w:rPr>
              <w:tab/>
            </w:r>
            <w:r>
              <w:rPr>
                <w:noProof/>
                <w:webHidden/>
              </w:rPr>
              <w:fldChar w:fldCharType="begin"/>
            </w:r>
            <w:r w:rsidR="000D493B">
              <w:rPr>
                <w:noProof/>
                <w:webHidden/>
              </w:rPr>
              <w:instrText xml:space="preserve"> PAGEREF _Toc413232549 \h </w:instrText>
            </w:r>
            <w:r>
              <w:rPr>
                <w:noProof/>
                <w:webHidden/>
              </w:rPr>
            </w:r>
            <w:r>
              <w:rPr>
                <w:noProof/>
                <w:webHidden/>
              </w:rPr>
              <w:fldChar w:fldCharType="separate"/>
            </w:r>
            <w:r w:rsidR="002A4568">
              <w:rPr>
                <w:noProof/>
                <w:webHidden/>
              </w:rPr>
              <w:t>15</w:t>
            </w:r>
            <w:r>
              <w:rPr>
                <w:noProof/>
                <w:webHidden/>
              </w:rPr>
              <w:fldChar w:fldCharType="end"/>
            </w:r>
          </w:hyperlink>
        </w:p>
        <w:p w:rsidR="000D493B" w:rsidRDefault="00484F51" w:rsidP="000D493B">
          <w:pPr>
            <w:pStyle w:val="Sommario1"/>
            <w:spacing w:after="360"/>
            <w:rPr>
              <w:rFonts w:asciiTheme="minorHAnsi" w:eastAsiaTheme="minorEastAsia" w:hAnsiTheme="minorHAnsi"/>
              <w:noProof/>
              <w:sz w:val="22"/>
              <w:lang w:eastAsia="it-IT"/>
            </w:rPr>
          </w:pPr>
          <w:hyperlink w:anchor="_Toc413232550" w:history="1">
            <w:r w:rsidR="000D493B" w:rsidRPr="00922D6A">
              <w:rPr>
                <w:rStyle w:val="Collegamentoipertestuale"/>
                <w:noProof/>
              </w:rPr>
              <w:t>6.</w:t>
            </w:r>
            <w:r w:rsidR="000D493B">
              <w:rPr>
                <w:rFonts w:asciiTheme="minorHAnsi" w:eastAsiaTheme="minorEastAsia" w:hAnsiTheme="minorHAnsi"/>
                <w:noProof/>
                <w:sz w:val="22"/>
                <w:lang w:eastAsia="it-IT"/>
              </w:rPr>
              <w:tab/>
            </w:r>
            <w:r w:rsidR="000D493B" w:rsidRPr="00922D6A">
              <w:rPr>
                <w:rStyle w:val="Collegamentoipertestuale"/>
                <w:noProof/>
              </w:rPr>
              <w:t>Rito applicabile (art. 11).</w:t>
            </w:r>
            <w:r w:rsidR="000D493B">
              <w:rPr>
                <w:noProof/>
                <w:webHidden/>
              </w:rPr>
              <w:tab/>
            </w:r>
            <w:r>
              <w:rPr>
                <w:noProof/>
                <w:webHidden/>
              </w:rPr>
              <w:fldChar w:fldCharType="begin"/>
            </w:r>
            <w:r w:rsidR="000D493B">
              <w:rPr>
                <w:noProof/>
                <w:webHidden/>
              </w:rPr>
              <w:instrText xml:space="preserve"> PAGEREF _Toc413232550 \h </w:instrText>
            </w:r>
            <w:r>
              <w:rPr>
                <w:noProof/>
                <w:webHidden/>
              </w:rPr>
            </w:r>
            <w:r>
              <w:rPr>
                <w:noProof/>
                <w:webHidden/>
              </w:rPr>
              <w:fldChar w:fldCharType="separate"/>
            </w:r>
            <w:r w:rsidR="002A4568">
              <w:rPr>
                <w:noProof/>
                <w:webHidden/>
              </w:rPr>
              <w:t>16</w:t>
            </w:r>
            <w:r>
              <w:rPr>
                <w:noProof/>
                <w:webHidden/>
              </w:rPr>
              <w:fldChar w:fldCharType="end"/>
            </w:r>
          </w:hyperlink>
        </w:p>
        <w:p w:rsidR="002E66D0" w:rsidRDefault="00484F51" w:rsidP="000D493B">
          <w:pPr>
            <w:spacing w:after="360"/>
          </w:pPr>
          <w:r>
            <w:fldChar w:fldCharType="end"/>
          </w:r>
        </w:p>
      </w:sdtContent>
    </w:sdt>
    <w:p w:rsidR="0076490F" w:rsidRDefault="0076490F">
      <w:r>
        <w:br w:type="page"/>
      </w:r>
    </w:p>
    <w:p w:rsidR="0076490F" w:rsidRPr="00916D07" w:rsidRDefault="0076490F" w:rsidP="0076490F">
      <w:pPr>
        <w:pStyle w:val="Titolo1"/>
      </w:pPr>
      <w:bookmarkStart w:id="0" w:name="_Toc413232541"/>
      <w:r>
        <w:lastRenderedPageBreak/>
        <w:t>Premessa.</w:t>
      </w:r>
      <w:bookmarkEnd w:id="0"/>
    </w:p>
    <w:p w:rsidR="003A26B6" w:rsidRDefault="00D42A57" w:rsidP="003A26B6">
      <w:r>
        <w:t xml:space="preserve">È stato pubblicato nella Gazzetta Ufficiale </w:t>
      </w:r>
      <w:r w:rsidR="0096273B">
        <w:t xml:space="preserve">del </w:t>
      </w:r>
      <w:r w:rsidR="008F622E">
        <w:t>6 marzo 2015, n.</w:t>
      </w:r>
      <w:r w:rsidR="008F0CD4">
        <w:t xml:space="preserve"> </w:t>
      </w:r>
      <w:r w:rsidR="008F622E">
        <w:t>54,</w:t>
      </w:r>
      <w:r>
        <w:t xml:space="preserve"> </w:t>
      </w:r>
      <w:r w:rsidR="006E70CC">
        <w:t xml:space="preserve">il Decreto Legislativo </w:t>
      </w:r>
      <w:r w:rsidR="008F622E">
        <w:t>4 marzo 2015, n</w:t>
      </w:r>
      <w:r w:rsidR="003F3B7A" w:rsidRPr="008F622E">
        <w:t>.</w:t>
      </w:r>
      <w:r w:rsidR="008F622E">
        <w:t xml:space="preserve"> </w:t>
      </w:r>
      <w:r w:rsidR="003F3B7A" w:rsidRPr="008F622E">
        <w:t>23</w:t>
      </w:r>
      <w:r w:rsidR="008F622E">
        <w:t>,</w:t>
      </w:r>
      <w:r w:rsidR="006E70CC">
        <w:t xml:space="preserve"> recante disposizioni in materia di contratto </w:t>
      </w:r>
      <w:r w:rsidR="0096273B">
        <w:t xml:space="preserve">di lavoro </w:t>
      </w:r>
      <w:r w:rsidR="006E70CC">
        <w:t>a tempo indeterminato a tutele crescenti</w:t>
      </w:r>
      <w:r w:rsidR="008F622E">
        <w:t xml:space="preserve">, </w:t>
      </w:r>
      <w:r w:rsidR="008F622E" w:rsidRPr="00BC5967">
        <w:rPr>
          <w:u w:val="single"/>
        </w:rPr>
        <w:t>entrato in vigore il 7 marzo</w:t>
      </w:r>
      <w:r w:rsidR="006E70CC">
        <w:t>.</w:t>
      </w:r>
    </w:p>
    <w:p w:rsidR="00FF3EB9" w:rsidRDefault="006E70CC" w:rsidP="003A26B6">
      <w:r>
        <w:t xml:space="preserve">Il Decreto Legislativo introduce </w:t>
      </w:r>
      <w:r w:rsidR="00F61F58">
        <w:t xml:space="preserve">nel nostro ordinamento </w:t>
      </w:r>
      <w:r>
        <w:t>il contratto a tutele crescenti caratterizzat</w:t>
      </w:r>
      <w:r w:rsidR="00F61F58">
        <w:t>o</w:t>
      </w:r>
      <w:r>
        <w:t xml:space="preserve"> </w:t>
      </w:r>
      <w:r w:rsidR="00CA4C73">
        <w:t xml:space="preserve">da una particolare disciplina del recesso. </w:t>
      </w:r>
    </w:p>
    <w:p w:rsidR="00CA4C73" w:rsidRPr="002A4568" w:rsidRDefault="00CA4C73" w:rsidP="003A26B6">
      <w:pPr>
        <w:rPr>
          <w:u w:val="single"/>
        </w:rPr>
      </w:pPr>
      <w:r w:rsidRPr="00FF3EB9">
        <w:rPr>
          <w:u w:val="single"/>
        </w:rPr>
        <w:t>Tale contratto</w:t>
      </w:r>
      <w:r w:rsidR="00FF3EB9">
        <w:rPr>
          <w:u w:val="single"/>
        </w:rPr>
        <w:t xml:space="preserve"> trova</w:t>
      </w:r>
      <w:r w:rsidRPr="00FF3EB9">
        <w:rPr>
          <w:u w:val="single"/>
        </w:rPr>
        <w:t xml:space="preserve"> applicazione per </w:t>
      </w:r>
      <w:r w:rsidR="00FF3EB9">
        <w:rPr>
          <w:u w:val="single"/>
        </w:rPr>
        <w:t xml:space="preserve">tutte </w:t>
      </w:r>
      <w:r w:rsidRPr="00FF3EB9">
        <w:rPr>
          <w:u w:val="single"/>
        </w:rPr>
        <w:t>le assunzioni a tempo indetermi</w:t>
      </w:r>
      <w:r w:rsidR="002D0080">
        <w:rPr>
          <w:u w:val="single"/>
        </w:rPr>
        <w:t>nato effettuate d</w:t>
      </w:r>
      <w:r w:rsidRPr="00FF3EB9">
        <w:rPr>
          <w:u w:val="single"/>
        </w:rPr>
        <w:t>all’entrata in vigore del Decreto Legislativo stesso</w:t>
      </w:r>
      <w:r w:rsidR="00FF3EB9">
        <w:rPr>
          <w:u w:val="single"/>
        </w:rPr>
        <w:t xml:space="preserve">, senza necessità che, nella lettera di </w:t>
      </w:r>
      <w:r w:rsidR="00FF3EB9" w:rsidRPr="002A4568">
        <w:rPr>
          <w:u w:val="single"/>
        </w:rPr>
        <w:t>assunzione, venga espressamente menzionato il Decreto Legislativo</w:t>
      </w:r>
      <w:r w:rsidR="007720B9" w:rsidRPr="002A4568">
        <w:rPr>
          <w:u w:val="single"/>
        </w:rPr>
        <w:t xml:space="preserve"> 4 marzo 2015, n. 23</w:t>
      </w:r>
      <w:r w:rsidRPr="002A4568">
        <w:rPr>
          <w:u w:val="single"/>
        </w:rPr>
        <w:t>.</w:t>
      </w:r>
    </w:p>
    <w:p w:rsidR="000E494E" w:rsidRPr="000E494E" w:rsidRDefault="000E494E" w:rsidP="003A26B6">
      <w:r w:rsidRPr="002A4568">
        <w:t>In fase di prima applicazione, comunque, può risultare utile tale specificazione.</w:t>
      </w:r>
    </w:p>
    <w:p w:rsidR="000E2641" w:rsidRDefault="007E592F" w:rsidP="003A26B6">
      <w:r>
        <w:t>I</w:t>
      </w:r>
      <w:r w:rsidR="000E2641">
        <w:t>l Decreto Legislativo d</w:t>
      </w:r>
      <w:r>
        <w:t>à</w:t>
      </w:r>
      <w:r w:rsidR="000E2641">
        <w:t xml:space="preserve"> attuazione al principio di delega previsto all’art. 1, comma 7, lett. </w:t>
      </w:r>
      <w:r w:rsidR="000E2641" w:rsidRPr="000E2641">
        <w:t>c)</w:t>
      </w:r>
      <w:r w:rsidR="000E2641">
        <w:t xml:space="preserve"> della Legge n. 183/2014: “</w:t>
      </w:r>
      <w:r w:rsidR="000E2641" w:rsidRPr="000E2641">
        <w:rPr>
          <w:i/>
        </w:rPr>
        <w:t>c) previsione, per le nuove assunzioni, del contratto a tempo indeterminato a tutele crescenti in relazione all'anzianità di servizio, escludendo per i licenziamenti economici la possibilità della reintegrazione del lavoratore nel posto di lavoro, prevedendo un indennizzo economico certo e crescente con l'anzianità di servizio e limitando il diritto alla reintegrazione ai licenziamenti nulli e discriminatori e a specifiche fattispecie di licenziamento disciplinare ingiustificato, nonché prevedendo termini certi per l'impugnazione del licenziamento</w:t>
      </w:r>
      <w:r w:rsidR="000E2641">
        <w:t>”.</w:t>
      </w:r>
    </w:p>
    <w:p w:rsidR="00916D07" w:rsidRPr="00916D07" w:rsidRDefault="00FF3EB9" w:rsidP="00916D07">
      <w:r>
        <w:t>La disciplina del contratto a tutele crescenti</w:t>
      </w:r>
      <w:r w:rsidR="00CA4C73">
        <w:t xml:space="preserve"> si affianca, pur restandone distinta, alla misura speciale di esonero dal versamento dei complessivi contributi previdenziali a carico dei datori di lavoro </w:t>
      </w:r>
      <w:r w:rsidR="000E2641">
        <w:t>prevista dall’art. 1, comma 118</w:t>
      </w:r>
      <w:r w:rsidR="00BC5967">
        <w:t>,</w:t>
      </w:r>
      <w:r w:rsidR="000E2641">
        <w:t xml:space="preserve"> della Legge n. 190/2014 (Legge di Stabilità 2015) per le assunzioni effettuate nel corso del 2015</w:t>
      </w:r>
      <w:r w:rsidR="00916D07">
        <w:t xml:space="preserve"> (cfr. Circolare Confindustria n.</w:t>
      </w:r>
      <w:r>
        <w:t xml:space="preserve"> 19816 </w:t>
      </w:r>
      <w:r w:rsidR="00916D07">
        <w:t>del 30 gennaio 2015).</w:t>
      </w:r>
    </w:p>
    <w:p w:rsidR="00916D07" w:rsidRDefault="00916D07" w:rsidP="003A26B6"/>
    <w:p w:rsidR="00ED0033" w:rsidRPr="00916D07" w:rsidRDefault="00ED0033" w:rsidP="00916D07">
      <w:pPr>
        <w:pStyle w:val="Titolo1"/>
      </w:pPr>
      <w:bookmarkStart w:id="1" w:name="_Toc413232542"/>
      <w:r w:rsidRPr="00916D07">
        <w:t>Campo di applicazione</w:t>
      </w:r>
      <w:r w:rsidR="00441D69">
        <w:t xml:space="preserve"> (art</w:t>
      </w:r>
      <w:r w:rsidRPr="00916D07">
        <w:t>.</w:t>
      </w:r>
      <w:r w:rsidR="00441D69">
        <w:t xml:space="preserve"> 1).</w:t>
      </w:r>
      <w:bookmarkEnd w:id="1"/>
    </w:p>
    <w:p w:rsidR="00B52DA7" w:rsidRDefault="00ED0033" w:rsidP="00ED0033">
      <w:r>
        <w:t xml:space="preserve">Uno dei profili più significativi del Decreto Legislativo </w:t>
      </w:r>
      <w:r w:rsidR="00BC5967">
        <w:t xml:space="preserve">n. 23/2015 </w:t>
      </w:r>
      <w:r>
        <w:t xml:space="preserve">è il suo ambito di applicazione che è </w:t>
      </w:r>
      <w:r w:rsidR="00E703C2">
        <w:t>direttamente discendente da quanto previsto nella Legge delega</w:t>
      </w:r>
      <w:r w:rsidR="00DF0F26">
        <w:t xml:space="preserve">. </w:t>
      </w:r>
    </w:p>
    <w:p w:rsidR="00E703C2" w:rsidRDefault="00DF0F26" w:rsidP="00ED0033">
      <w:r>
        <w:t xml:space="preserve">L’art. 1, comma 7, lett. </w:t>
      </w:r>
      <w:r w:rsidRPr="000E2641">
        <w:t>c)</w:t>
      </w:r>
      <w:r w:rsidR="00B52DA7">
        <w:t>,</w:t>
      </w:r>
      <w:r>
        <w:t xml:space="preserve"> della Legge n. 183/2014, infatti, circoscrive l’applicazione del contratto a tutele crescenti “</w:t>
      </w:r>
      <w:r>
        <w:rPr>
          <w:i/>
        </w:rPr>
        <w:t>per le nuove assunzioni</w:t>
      </w:r>
      <w:r>
        <w:t>”.</w:t>
      </w:r>
    </w:p>
    <w:p w:rsidR="004523AD" w:rsidRDefault="004523AD" w:rsidP="00ED0033">
      <w:r>
        <w:t xml:space="preserve">Conseguentemente, </w:t>
      </w:r>
      <w:r w:rsidR="00DF0F26">
        <w:t xml:space="preserve">l’art. 1, comma 1, del D. </w:t>
      </w:r>
      <w:proofErr w:type="spellStart"/>
      <w:r w:rsidR="00DF0F26">
        <w:t>Lgs</w:t>
      </w:r>
      <w:proofErr w:type="spellEnd"/>
      <w:r w:rsidR="00DF0F26">
        <w:t xml:space="preserve">. n. </w:t>
      </w:r>
      <w:r w:rsidR="007720B9">
        <w:t xml:space="preserve">23/2015 </w:t>
      </w:r>
      <w:r w:rsidR="007313FA">
        <w:t xml:space="preserve">prevede il principio generale per cui </w:t>
      </w:r>
      <w:r w:rsidR="007313FA" w:rsidRPr="007313FA">
        <w:rPr>
          <w:u w:val="single"/>
        </w:rPr>
        <w:t xml:space="preserve">la disciplina del nuovo contratto a tutele crescenti trova applicazione per le assunzioni effettuate </w:t>
      </w:r>
      <w:r w:rsidR="007720B9">
        <w:rPr>
          <w:u w:val="single"/>
        </w:rPr>
        <w:t>d</w:t>
      </w:r>
      <w:r w:rsidR="007313FA" w:rsidRPr="007313FA">
        <w:rPr>
          <w:u w:val="single"/>
        </w:rPr>
        <w:t>alla data di entrata in vigore del Decreto Legisl</w:t>
      </w:r>
      <w:r w:rsidR="007720B9">
        <w:rPr>
          <w:u w:val="single"/>
        </w:rPr>
        <w:t>ativo, ovvero dal 7 marzo 2015</w:t>
      </w:r>
      <w:r w:rsidR="007313FA">
        <w:rPr>
          <w:u w:val="single"/>
        </w:rPr>
        <w:t>.</w:t>
      </w:r>
    </w:p>
    <w:p w:rsidR="00B52DA7" w:rsidRDefault="00371D47" w:rsidP="006D3B49">
      <w:r>
        <w:t xml:space="preserve">L’art. 1, comma </w:t>
      </w:r>
      <w:r w:rsidR="0056592D">
        <w:t>3,</w:t>
      </w:r>
      <w:r w:rsidR="00FF3EB9">
        <w:t xml:space="preserve"> prevede un’estensione di</w:t>
      </w:r>
      <w:r>
        <w:t xml:space="preserve"> questa prima regola generale. </w:t>
      </w:r>
    </w:p>
    <w:p w:rsidR="006D3B49" w:rsidRDefault="00371D47" w:rsidP="006D3B49">
      <w:r>
        <w:t>Qualora</w:t>
      </w:r>
      <w:r w:rsidR="006D3B49">
        <w:t>,</w:t>
      </w:r>
      <w:r>
        <w:t xml:space="preserve"> </w:t>
      </w:r>
      <w:r w:rsidR="00FF3EB9">
        <w:t xml:space="preserve">a ragione di una assunzione a tempo indeterminato effettuata </w:t>
      </w:r>
      <w:r w:rsidR="007720B9">
        <w:t>dal 7 marzo 2015 in poi</w:t>
      </w:r>
      <w:r w:rsidR="008F02CB">
        <w:t>,</w:t>
      </w:r>
      <w:r w:rsidR="006D3B49">
        <w:t xml:space="preserve"> il datore di lavoro superi il requisito occupazionale </w:t>
      </w:r>
      <w:r w:rsidR="00FF3EB9">
        <w:t xml:space="preserve">minimo </w:t>
      </w:r>
      <w:r w:rsidR="006D3B49">
        <w:t xml:space="preserve">per l’applicazione della </w:t>
      </w:r>
      <w:r w:rsidR="006D3B49">
        <w:lastRenderedPageBreak/>
        <w:t xml:space="preserve">cd. </w:t>
      </w:r>
      <w:r w:rsidR="00FF3EB9">
        <w:t>“</w:t>
      </w:r>
      <w:r w:rsidR="006D3B49">
        <w:t>tutela reale</w:t>
      </w:r>
      <w:r w:rsidR="00FF3EB9">
        <w:t>”</w:t>
      </w:r>
      <w:r w:rsidR="006D3B49">
        <w:t xml:space="preserve"> (cfr. art. 18, commi 8 e 9, Legge n. 300/1970), </w:t>
      </w:r>
      <w:r w:rsidR="006D3B49" w:rsidRPr="006D3B49">
        <w:rPr>
          <w:u w:val="single"/>
        </w:rPr>
        <w:t>tutti i rapporti di lavoro, anche se avviati prima dell’e</w:t>
      </w:r>
      <w:r w:rsidR="008F02CB">
        <w:rPr>
          <w:u w:val="single"/>
        </w:rPr>
        <w:t xml:space="preserve">ntrata in vigore del D. </w:t>
      </w:r>
      <w:proofErr w:type="spellStart"/>
      <w:r w:rsidR="008F02CB">
        <w:rPr>
          <w:u w:val="single"/>
        </w:rPr>
        <w:t>Lgs</w:t>
      </w:r>
      <w:proofErr w:type="spellEnd"/>
      <w:r w:rsidR="008F02CB">
        <w:rPr>
          <w:u w:val="single"/>
        </w:rPr>
        <w:t>. n. 23/2015</w:t>
      </w:r>
      <w:r w:rsidR="00B52DA7">
        <w:rPr>
          <w:u w:val="single"/>
        </w:rPr>
        <w:t>,</w:t>
      </w:r>
      <w:r w:rsidR="006D3B49" w:rsidRPr="006D3B49">
        <w:rPr>
          <w:u w:val="single"/>
        </w:rPr>
        <w:t xml:space="preserve"> sono assoggettati alla </w:t>
      </w:r>
      <w:r w:rsidR="008005A1" w:rsidRPr="006D3B49">
        <w:rPr>
          <w:u w:val="single"/>
        </w:rPr>
        <w:t>disciplina del contratto a tutele crescenti</w:t>
      </w:r>
      <w:r w:rsidR="006D3B49">
        <w:t>.</w:t>
      </w:r>
    </w:p>
    <w:p w:rsidR="0076490F" w:rsidRDefault="0076490F" w:rsidP="006D3B49">
      <w:pPr>
        <w:contextualSpacing/>
      </w:pPr>
      <w:r>
        <w:t xml:space="preserve">Alcune prime interpretazioni hanno sollevato dubbi circa la legittimità costituzionale del disposto dell’art. 1, comma 3, per cd. </w:t>
      </w:r>
      <w:r w:rsidR="008B291E">
        <w:t>“</w:t>
      </w:r>
      <w:r>
        <w:t>eccesso di delega</w:t>
      </w:r>
      <w:r w:rsidR="008B291E">
        <w:t>”</w:t>
      </w:r>
      <w:r>
        <w:t xml:space="preserve"> in relazione agli artt. 76 e 77 Cost. Questa interpretazione sottolinea, infatti, che il principio di delega previsto all’art. 1, comma 7, lett. </w:t>
      </w:r>
      <w:r w:rsidRPr="000E2641">
        <w:t>c)</w:t>
      </w:r>
      <w:r>
        <w:t xml:space="preserve"> della Legge n. 183/2014 fa riferimento alle “</w:t>
      </w:r>
      <w:r>
        <w:rPr>
          <w:i/>
        </w:rPr>
        <w:t>nuove assunzioni</w:t>
      </w:r>
      <w:r>
        <w:t xml:space="preserve">” e, pertanto, non </w:t>
      </w:r>
      <w:r w:rsidR="008C63F9">
        <w:t xml:space="preserve">sarebbe </w:t>
      </w:r>
      <w:r w:rsidR="008B291E">
        <w:t xml:space="preserve">conforme alla </w:t>
      </w:r>
      <w:r w:rsidR="00B52DA7">
        <w:t xml:space="preserve">legge </w:t>
      </w:r>
      <w:r w:rsidR="008B291E">
        <w:t xml:space="preserve">delega </w:t>
      </w:r>
      <w:r w:rsidR="008C63F9">
        <w:t>estendere il contratto a tutele cresc</w:t>
      </w:r>
      <w:r w:rsidR="008B291E">
        <w:t>enti ai lavoratori già impiegati</w:t>
      </w:r>
      <w:r w:rsidR="008C63F9">
        <w:t xml:space="preserve"> in imprese che</w:t>
      </w:r>
      <w:r w:rsidR="008B291E">
        <w:t>, a seguito della nuova assunzione</w:t>
      </w:r>
      <w:r w:rsidR="00B52DA7">
        <w:t xml:space="preserve"> a tutele crescenti</w:t>
      </w:r>
      <w:r w:rsidR="008B291E">
        <w:t>, raggiungano</w:t>
      </w:r>
      <w:r w:rsidR="008C63F9">
        <w:t xml:space="preserve"> il requisito dimensionale </w:t>
      </w:r>
      <w:r w:rsidR="008B291E">
        <w:t xml:space="preserve">minimo </w:t>
      </w:r>
      <w:r w:rsidR="008C63F9">
        <w:t>di cui all’art. 18 della Legge n. 300/1970</w:t>
      </w:r>
      <w:r w:rsidR="008B291E">
        <w:t>.</w:t>
      </w:r>
      <w:r w:rsidR="008C63F9">
        <w:t xml:space="preserve"> </w:t>
      </w:r>
    </w:p>
    <w:p w:rsidR="008B291E" w:rsidRDefault="008B291E" w:rsidP="006D3B49">
      <w:pPr>
        <w:contextualSpacing/>
      </w:pPr>
    </w:p>
    <w:p w:rsidR="0076490F" w:rsidRDefault="00C07E8B" w:rsidP="00591EB1">
      <w:r>
        <w:t xml:space="preserve">Per evitare l’incertezza </w:t>
      </w:r>
      <w:r w:rsidR="008B291E">
        <w:t xml:space="preserve">applicativa </w:t>
      </w:r>
      <w:r>
        <w:t>che potrebbe derivare da questa interpretazione, senza tuttavia rinunciare</w:t>
      </w:r>
      <w:r w:rsidR="008B291E">
        <w:t>, in concreto,</w:t>
      </w:r>
      <w:r>
        <w:t xml:space="preserve"> a</w:t>
      </w:r>
      <w:r w:rsidR="00591EB1">
        <w:t xml:space="preserve">gli incentivi </w:t>
      </w:r>
      <w:r w:rsidR="008B291E">
        <w:t xml:space="preserve">contributivi </w:t>
      </w:r>
      <w:r w:rsidR="00591EB1">
        <w:t xml:space="preserve">previsti </w:t>
      </w:r>
      <w:r w:rsidR="008B291E">
        <w:t xml:space="preserve">dalla legge finanziaria </w:t>
      </w:r>
      <w:r w:rsidR="00591EB1">
        <w:t>per le assunzioni a tempo indeterminato</w:t>
      </w:r>
      <w:r w:rsidR="00B52DA7">
        <w:t xml:space="preserve"> effettuate nel 2015</w:t>
      </w:r>
      <w:r w:rsidR="00591EB1">
        <w:t>,</w:t>
      </w:r>
      <w:r>
        <w:t xml:space="preserve"> </w:t>
      </w:r>
      <w:r w:rsidR="00591EB1">
        <w:t>una soluzione percorribile potrebbe essere quella di avvalersi della somministrazione a tempo indeterminato</w:t>
      </w:r>
      <w:r w:rsidR="00782641">
        <w:t>, dato che le agenzie per il lavoro non mancheranno di tener conto</w:t>
      </w:r>
      <w:r w:rsidR="00FD3B43">
        <w:t>, a favore dell’utilizzatore,</w:t>
      </w:r>
      <w:r w:rsidR="00782641">
        <w:t xml:space="preserve"> della riduzione del costo del lavoro derivante dalla fruizione degli incentivi stessi</w:t>
      </w:r>
      <w:r w:rsidR="008B291E">
        <w:t>.</w:t>
      </w:r>
    </w:p>
    <w:p w:rsidR="001334EC" w:rsidRDefault="001334EC" w:rsidP="006D3B49">
      <w:pPr>
        <w:contextualSpacing/>
      </w:pPr>
      <w:r>
        <w:t xml:space="preserve">Merita fin d’ora </w:t>
      </w:r>
      <w:r w:rsidR="00FD3B43">
        <w:t>di essere segnalata</w:t>
      </w:r>
      <w:r>
        <w:t xml:space="preserve"> un’altra importante novità</w:t>
      </w:r>
      <w:r w:rsidR="00782641">
        <w:t>, sempre in tema di campo di applicazione,</w:t>
      </w:r>
      <w:r>
        <w:t xml:space="preserve"> </w:t>
      </w:r>
      <w:r w:rsidR="00782641">
        <w:t xml:space="preserve">introdotta </w:t>
      </w:r>
      <w:r w:rsidR="00E40579">
        <w:t xml:space="preserve">dal D. </w:t>
      </w:r>
      <w:proofErr w:type="spellStart"/>
      <w:r w:rsidR="00E40579">
        <w:t>Lgs</w:t>
      </w:r>
      <w:proofErr w:type="spellEnd"/>
      <w:r w:rsidR="00E40579">
        <w:t>. n. 23/2015,</w:t>
      </w:r>
      <w:r>
        <w:t xml:space="preserve"> </w:t>
      </w:r>
      <w:r w:rsidR="00FD3B43">
        <w:t xml:space="preserve">ossia </w:t>
      </w:r>
      <w:r>
        <w:t xml:space="preserve">l’estensione alle cd. </w:t>
      </w:r>
      <w:r w:rsidR="00782641">
        <w:t>“</w:t>
      </w:r>
      <w:r>
        <w:t>organizzazioni di tendenza</w:t>
      </w:r>
      <w:r w:rsidR="00782641">
        <w:t>”</w:t>
      </w:r>
      <w:r>
        <w:t xml:space="preserve"> della disciplina del contratto a tutele crescenti.</w:t>
      </w:r>
    </w:p>
    <w:p w:rsidR="00782641" w:rsidRDefault="00782641" w:rsidP="006D3B49">
      <w:pPr>
        <w:contextualSpacing/>
      </w:pPr>
    </w:p>
    <w:p w:rsidR="005323E1" w:rsidRDefault="00D914F5" w:rsidP="006D3B49">
      <w:r>
        <w:t>L</w:t>
      </w:r>
      <w:r w:rsidR="005323E1">
        <w:t>’art. 9, comma 2</w:t>
      </w:r>
      <w:r w:rsidR="00782641">
        <w:t>,</w:t>
      </w:r>
      <w:r w:rsidR="005323E1">
        <w:t xml:space="preserve"> prevede che: “</w:t>
      </w:r>
      <w:r w:rsidR="005323E1" w:rsidRPr="005323E1">
        <w:rPr>
          <w:i/>
        </w:rPr>
        <w:t>ai datori di lavoro non imprenditori, che svolgono senza fine di lucro attività di natura politica, sindacale, culturale, di istruzione ovvero di religione o di culto, si applica la disciplina di cui al presente decreto</w:t>
      </w:r>
      <w:r w:rsidR="005323E1">
        <w:t>”</w:t>
      </w:r>
      <w:r w:rsidR="005323E1" w:rsidRPr="005323E1">
        <w:t>.</w:t>
      </w:r>
    </w:p>
    <w:p w:rsidR="00BC4609" w:rsidRPr="00EB368B" w:rsidRDefault="00600C16" w:rsidP="005323E1">
      <w:pPr>
        <w:contextualSpacing/>
      </w:pPr>
      <w:r w:rsidRPr="00EB368B">
        <w:t>Dal riferimento contenuto nell’art. 9, comma 2</w:t>
      </w:r>
      <w:r w:rsidR="00782641" w:rsidRPr="00EB368B">
        <w:t>,</w:t>
      </w:r>
      <w:r w:rsidRPr="00EB368B">
        <w:t xml:space="preserve"> all’intera disciplina del Decreto Legislativo, nonché</w:t>
      </w:r>
      <w:r w:rsidR="00782641" w:rsidRPr="00EB368B">
        <w:t>,</w:t>
      </w:r>
      <w:r w:rsidRPr="00EB368B">
        <w:t xml:space="preserve"> più in generale</w:t>
      </w:r>
      <w:r w:rsidR="00782641" w:rsidRPr="00EB368B">
        <w:t>,</w:t>
      </w:r>
      <w:r w:rsidRPr="00EB368B">
        <w:t xml:space="preserve"> dal </w:t>
      </w:r>
      <w:r w:rsidR="005323E1" w:rsidRPr="00EB368B">
        <w:t xml:space="preserve">già citato principio di delega di cui all’art. 1, comma 7, lett. c) della Legge n. 183/2014 </w:t>
      </w:r>
      <w:r w:rsidR="00BC4609" w:rsidRPr="00EB368B">
        <w:t>(</w:t>
      </w:r>
      <w:r w:rsidR="005323E1" w:rsidRPr="00EB368B">
        <w:t xml:space="preserve">che, come già </w:t>
      </w:r>
      <w:r w:rsidRPr="00EB368B">
        <w:t>evidenziato</w:t>
      </w:r>
      <w:r w:rsidR="005323E1" w:rsidRPr="00EB368B">
        <w:t>, circoscrive l’applica</w:t>
      </w:r>
      <w:r w:rsidRPr="00EB368B">
        <w:t>z</w:t>
      </w:r>
      <w:r w:rsidR="005323E1" w:rsidRPr="00EB368B">
        <w:t>ione del contratto a tutele crescenti “</w:t>
      </w:r>
      <w:r w:rsidR="005323E1" w:rsidRPr="00EB368B">
        <w:rPr>
          <w:i/>
        </w:rPr>
        <w:t>per le nuove assunzioni</w:t>
      </w:r>
      <w:r w:rsidRPr="00EB368B">
        <w:t>”</w:t>
      </w:r>
      <w:r w:rsidR="00BC4609" w:rsidRPr="00EB368B">
        <w:t>)</w:t>
      </w:r>
      <w:r w:rsidRPr="00EB368B">
        <w:t xml:space="preserve">, consegue che </w:t>
      </w:r>
      <w:r w:rsidR="00DF63B0" w:rsidRPr="00EB368B">
        <w:t>la disciplina del co</w:t>
      </w:r>
      <w:r w:rsidR="00BC4609" w:rsidRPr="00EB368B">
        <w:t>ntratto a tutele crescenti opera</w:t>
      </w:r>
      <w:r w:rsidR="00DF63B0" w:rsidRPr="00EB368B">
        <w:t xml:space="preserve"> con riferimento alle assunzioni effettuate </w:t>
      </w:r>
      <w:r w:rsidR="00E40579" w:rsidRPr="00EB368B">
        <w:t>dalla data del 7 marzo 2015</w:t>
      </w:r>
      <w:r w:rsidR="00DF63B0" w:rsidRPr="00EB368B">
        <w:t>, nonché per i datori di lavoro che</w:t>
      </w:r>
      <w:r w:rsidR="00BC4609" w:rsidRPr="00EB368B">
        <w:t>,</w:t>
      </w:r>
      <w:r w:rsidR="00DF63B0" w:rsidRPr="00EB368B">
        <w:t xml:space="preserve"> </w:t>
      </w:r>
      <w:r w:rsidR="00ED31F9" w:rsidRPr="00EB368B">
        <w:t xml:space="preserve">da </w:t>
      </w:r>
      <w:r w:rsidR="00DF63B0" w:rsidRPr="00EB368B">
        <w:t>tale data</w:t>
      </w:r>
      <w:r w:rsidR="00BC4609" w:rsidRPr="00EB368B">
        <w:t>,</w:t>
      </w:r>
      <w:r w:rsidR="00DF63B0" w:rsidRPr="00EB368B">
        <w:t xml:space="preserve"> integrino il requisito </w:t>
      </w:r>
      <w:r w:rsidR="00BC4609" w:rsidRPr="00EB368B">
        <w:t xml:space="preserve">minimo </w:t>
      </w:r>
      <w:r w:rsidR="00DF63B0" w:rsidRPr="00EB368B">
        <w:t>occupazionale di cui all’art. 18, commi 8 e 9</w:t>
      </w:r>
      <w:r w:rsidR="00ED31F9" w:rsidRPr="00EB368B">
        <w:t>, con assunzioni con contratto a tutele crescenti</w:t>
      </w:r>
      <w:r w:rsidR="00DF63B0" w:rsidRPr="00EB368B">
        <w:t xml:space="preserve">. </w:t>
      </w:r>
    </w:p>
    <w:p w:rsidR="00BC4609" w:rsidRPr="00ED31F9" w:rsidRDefault="00BC4609" w:rsidP="005323E1">
      <w:pPr>
        <w:contextualSpacing/>
        <w:rPr>
          <w:highlight w:val="yellow"/>
        </w:rPr>
      </w:pPr>
    </w:p>
    <w:p w:rsidR="008D5EED" w:rsidRDefault="008D5EED" w:rsidP="005323E1">
      <w:pPr>
        <w:contextualSpacing/>
      </w:pPr>
      <w:r>
        <w:t>Infine, meritano di essere effettuate alcune precisazioni in merito all</w:t>
      </w:r>
      <w:r w:rsidR="00D26524">
        <w:t>’ambito di applic</w:t>
      </w:r>
      <w:r w:rsidR="00072012">
        <w:t>azione</w:t>
      </w:r>
      <w:r>
        <w:t xml:space="preserve"> </w:t>
      </w:r>
      <w:r w:rsidR="00072012">
        <w:t>de</w:t>
      </w:r>
      <w:r>
        <w:t xml:space="preserve">lla nuova disciplina del </w:t>
      </w:r>
      <w:r w:rsidR="008C4226">
        <w:t>contratto a tutele crescenti</w:t>
      </w:r>
      <w:r>
        <w:t>.</w:t>
      </w:r>
    </w:p>
    <w:p w:rsidR="008D5EED" w:rsidRDefault="008D5EED" w:rsidP="005323E1">
      <w:pPr>
        <w:contextualSpacing/>
      </w:pPr>
    </w:p>
    <w:p w:rsidR="006244FB" w:rsidRDefault="006244FB" w:rsidP="005323E1">
      <w:pPr>
        <w:contextualSpacing/>
      </w:pPr>
      <w:r>
        <w:t>L’art. 1, comma 1</w:t>
      </w:r>
      <w:r w:rsidR="00BC4609">
        <w:t>,</w:t>
      </w:r>
      <w:r>
        <w:t xml:space="preserve"> riferisce chiaramente l’applicazione del Decreto Legislativo ai “</w:t>
      </w:r>
      <w:r>
        <w:rPr>
          <w:i/>
        </w:rPr>
        <w:t>lavoratori che rivestono la qualifica di operai, impiegati o quadri</w:t>
      </w:r>
      <w:r>
        <w:t>” escludendo così la categoria dei dirigenti.</w:t>
      </w:r>
    </w:p>
    <w:p w:rsidR="00DE4562" w:rsidRDefault="00072012" w:rsidP="00DE4562">
      <w:pPr>
        <w:contextualSpacing/>
      </w:pPr>
      <w:r>
        <w:lastRenderedPageBreak/>
        <w:t>Quanto, invece, alle singole tipologie contrattuali</w:t>
      </w:r>
      <w:r w:rsidR="00BC4609">
        <w:t>,</w:t>
      </w:r>
      <w:r>
        <w:t xml:space="preserve"> </w:t>
      </w:r>
      <w:r w:rsidR="00BC4609">
        <w:t xml:space="preserve">l’art. 1, comma 2, </w:t>
      </w:r>
      <w:r w:rsidR="00A933A0">
        <w:t xml:space="preserve">introdotto in sede di secondo esame da parte del Consiglio dei Ministri, prevede espressamente due ipotesi di estensione dell’ambito di applicazione </w:t>
      </w:r>
      <w:r w:rsidR="0056592D">
        <w:t>della disciplina del contratto a tutele crescenti</w:t>
      </w:r>
      <w:r w:rsidR="00DE4562">
        <w:t xml:space="preserve">. </w:t>
      </w:r>
    </w:p>
    <w:p w:rsidR="00A933A0" w:rsidRDefault="00DE4562" w:rsidP="004B516E">
      <w:r>
        <w:t>Il Decreto prevede, infatti, che la disciplina del contratto a tutele crescenti trovi applicazion</w:t>
      </w:r>
      <w:r w:rsidR="00C35E7F">
        <w:t xml:space="preserve">e </w:t>
      </w:r>
      <w:r w:rsidR="00096BAC">
        <w:t>anche ai casi di conversione dei contratti</w:t>
      </w:r>
      <w:r w:rsidR="00BC4609">
        <w:t xml:space="preserve"> a tempo determinato o</w:t>
      </w:r>
      <w:r w:rsidR="00C35E7F">
        <w:t xml:space="preserve"> di apprendistato in contratti a tempo indeterminato</w:t>
      </w:r>
      <w:r w:rsidR="00096BAC">
        <w:t>, avvenute</w:t>
      </w:r>
      <w:r w:rsidR="00C35E7F">
        <w:t xml:space="preserve"> successivamente all’entrata in vigore del presente decreto.</w:t>
      </w:r>
    </w:p>
    <w:p w:rsidR="00BC4609" w:rsidRDefault="00BC4609" w:rsidP="004B516E">
      <w:pPr>
        <w:contextualSpacing/>
      </w:pPr>
      <w:r>
        <w:t>Quant</w:t>
      </w:r>
      <w:r w:rsidR="00096BAC">
        <w:t>o al contratto di apprendistato</w:t>
      </w:r>
      <w:r>
        <w:t xml:space="preserve"> </w:t>
      </w:r>
      <w:r w:rsidR="00096BAC">
        <w:t>(</w:t>
      </w:r>
      <w:r>
        <w:t>al quale senz’altro si applica la nu</w:t>
      </w:r>
      <w:r w:rsidR="00D95DB0">
        <w:t>ova disciplina</w:t>
      </w:r>
      <w:r w:rsidR="00096BAC">
        <w:t>,</w:t>
      </w:r>
      <w:r w:rsidR="00D95DB0">
        <w:t xml:space="preserve"> se concluso dal</w:t>
      </w:r>
      <w:r>
        <w:t xml:space="preserve">l’entrata in vigore del D. </w:t>
      </w:r>
      <w:proofErr w:type="spellStart"/>
      <w:r>
        <w:t>Lgs</w:t>
      </w:r>
      <w:proofErr w:type="spellEnd"/>
      <w:r>
        <w:t>. n.</w:t>
      </w:r>
      <w:r w:rsidR="00D95DB0">
        <w:t xml:space="preserve"> 23/2015</w:t>
      </w:r>
      <w:r w:rsidRPr="00E40579">
        <w:rPr>
          <w:rStyle w:val="Rimandonotaapidipagina"/>
        </w:rPr>
        <w:footnoteReference w:id="1"/>
      </w:r>
      <w:r w:rsidR="00096BAC">
        <w:t>)</w:t>
      </w:r>
      <w:r>
        <w:t xml:space="preserve">, </w:t>
      </w:r>
      <w:r w:rsidR="00FD2181">
        <w:t>qualche dubbio suscita l’applicabilità della stessa nell’ipotesi di “conversione” di un rapporto già in atto al momento dell’entrata in vigore del decreto stesso e ciò sempre sotto il profilo di un possibile eccesso di delega.</w:t>
      </w:r>
    </w:p>
    <w:p w:rsidR="00BC4609" w:rsidRDefault="00BC4609" w:rsidP="004B516E">
      <w:pPr>
        <w:contextualSpacing/>
      </w:pPr>
    </w:p>
    <w:p w:rsidR="00BC6C08" w:rsidRDefault="00FD2181" w:rsidP="00BC6C08">
      <w:r>
        <w:t>R</w:t>
      </w:r>
      <w:r w:rsidR="00650874">
        <w:t>esta</w:t>
      </w:r>
      <w:r>
        <w:t>, comunque,</w:t>
      </w:r>
      <w:r w:rsidR="00650874">
        <w:t xml:space="preserve"> ferma la disciplina </w:t>
      </w:r>
      <w:r w:rsidR="00E317B8">
        <w:t>speciale</w:t>
      </w:r>
      <w:r w:rsidR="00650874">
        <w:t xml:space="preserve"> sul recesso</w:t>
      </w:r>
      <w:r>
        <w:t xml:space="preserve"> con preavviso,</w:t>
      </w:r>
      <w:r w:rsidR="00E317B8">
        <w:t xml:space="preserve"> previst</w:t>
      </w:r>
      <w:r w:rsidR="00650874">
        <w:t xml:space="preserve">a </w:t>
      </w:r>
      <w:r w:rsidR="00E317B8">
        <w:t xml:space="preserve">dall’art. 2, comma 1, lett. </w:t>
      </w:r>
      <w:r w:rsidR="00766A78">
        <w:t>m</w:t>
      </w:r>
      <w:r w:rsidR="00096BAC">
        <w:t>),</w:t>
      </w:r>
      <w:r w:rsidR="00766A78">
        <w:t xml:space="preserve"> del D. </w:t>
      </w:r>
      <w:proofErr w:type="spellStart"/>
      <w:r w:rsidR="00766A78">
        <w:t>Lgs</w:t>
      </w:r>
      <w:proofErr w:type="spellEnd"/>
      <w:r w:rsidR="00766A78">
        <w:t>. n. 167/2011</w:t>
      </w:r>
      <w:r w:rsidR="00096BAC">
        <w:t>, ossia</w:t>
      </w:r>
      <w:r w:rsidR="00BC6C08">
        <w:t xml:space="preserve"> la </w:t>
      </w:r>
      <w:r w:rsidR="00766A78">
        <w:t>possibil</w:t>
      </w:r>
      <w:r w:rsidR="00BC6C08">
        <w:t>ità di</w:t>
      </w:r>
      <w:r w:rsidR="00766A78">
        <w:t xml:space="preserve"> recedere dal contratto di apprendistato con preavviso</w:t>
      </w:r>
      <w:r w:rsidR="00096BAC">
        <w:t>,</w:t>
      </w:r>
      <w:r w:rsidR="00766A78">
        <w:t xml:space="preserve"> decorrente dal termine del periodo di formazione ai sensi di quanto disposto dall’art. 2118 </w:t>
      </w:r>
      <w:proofErr w:type="spellStart"/>
      <w:r w:rsidR="00766A78">
        <w:t>c.c</w:t>
      </w:r>
      <w:proofErr w:type="spellEnd"/>
      <w:r w:rsidR="00766A78">
        <w:t>.</w:t>
      </w:r>
      <w:r>
        <w:t>.</w:t>
      </w:r>
      <w:r w:rsidR="00766A78">
        <w:t xml:space="preserve"> </w:t>
      </w:r>
    </w:p>
    <w:p w:rsidR="00BC6C08" w:rsidRDefault="00362536" w:rsidP="00BC6C08">
      <w:r w:rsidRPr="00FD2181">
        <w:t xml:space="preserve">Per quanto riguarda il contratto a tempo determinato, l’ipotesi della conversione sembra includere, anche alla luce del disposto dell’art. 32, comma 5, della Legge n. 186/2010 </w:t>
      </w:r>
      <w:r w:rsidR="00FD2181">
        <w:t>(</w:t>
      </w:r>
      <w:r w:rsidRPr="00FD2181">
        <w:t>che utilizza proprio il termine “</w:t>
      </w:r>
      <w:r w:rsidRPr="00FD2181">
        <w:rPr>
          <w:i/>
        </w:rPr>
        <w:t>conversione</w:t>
      </w:r>
      <w:r w:rsidRPr="00FD2181">
        <w:t>”</w:t>
      </w:r>
      <w:r w:rsidR="00FD2181">
        <w:t>)</w:t>
      </w:r>
      <w:r w:rsidRPr="00FD2181">
        <w:t>, le ipotesi di instaurazione di un rapporto di lavoro a tempo indeterminato a seguito di pronuncia giudiziaria.</w:t>
      </w:r>
    </w:p>
    <w:p w:rsidR="00FD2181" w:rsidRDefault="00FD2181" w:rsidP="00BC6C08">
      <w:r>
        <w:t>Il problema potrebbe, però, derivare – ancora una volta – dal possibile eccesso di delega, ricordando che la legge delega riferisce espressamente la nuova disciplina solo alle nuove assunzioni: di qui appare consigliabile</w:t>
      </w:r>
      <w:r w:rsidR="00096BAC">
        <w:t>, in tutte le possibili</w:t>
      </w:r>
      <w:r w:rsidR="009560A1">
        <w:t xml:space="preserve"> ipotesi</w:t>
      </w:r>
      <w:r w:rsidR="00096BAC">
        <w:t xml:space="preserve"> di “</w:t>
      </w:r>
      <w:r w:rsidR="00096BAC">
        <w:rPr>
          <w:i/>
        </w:rPr>
        <w:t>conversione</w:t>
      </w:r>
      <w:r w:rsidR="00096BAC">
        <w:t>”</w:t>
      </w:r>
      <w:r w:rsidR="009560A1">
        <w:t xml:space="preserve">, chiudere formalmente il precedente </w:t>
      </w:r>
      <w:r w:rsidR="00096BAC">
        <w:t xml:space="preserve">rapporto </w:t>
      </w:r>
      <w:r w:rsidR="009560A1">
        <w:t>a termine ed avviare subito dopo un nuovo rapporto a tempo indeterminato.</w:t>
      </w:r>
    </w:p>
    <w:p w:rsidR="00362536" w:rsidRPr="00362536" w:rsidRDefault="00362536" w:rsidP="00D962EA">
      <w:r>
        <w:t>Più complessa è, invece, l’ipotesi della somministrazione irregolare ai sensi dell’art. 27 del D.</w:t>
      </w:r>
      <w:r w:rsidR="00AF5E17">
        <w:t xml:space="preserve"> </w:t>
      </w:r>
      <w:proofErr w:type="spellStart"/>
      <w:r w:rsidR="00AF5E17">
        <w:t>Lgs</w:t>
      </w:r>
      <w:proofErr w:type="spellEnd"/>
      <w:r w:rsidR="00AF5E17">
        <w:t>. n. 276/2003. Tale ipotesi</w:t>
      </w:r>
      <w:r>
        <w:t xml:space="preserve"> </w:t>
      </w:r>
      <w:r w:rsidR="00AF5E17">
        <w:t>(</w:t>
      </w:r>
      <w:r>
        <w:t>non contemplata dall’</w:t>
      </w:r>
      <w:r w:rsidR="006C6C0B">
        <w:t>a</w:t>
      </w:r>
      <w:r>
        <w:t>rt</w:t>
      </w:r>
      <w:r w:rsidR="006C6C0B">
        <w:t xml:space="preserve">. 1, comma 2, </w:t>
      </w:r>
      <w:r w:rsidR="00AF5E17">
        <w:t xml:space="preserve">del D. </w:t>
      </w:r>
      <w:proofErr w:type="spellStart"/>
      <w:r w:rsidR="00AF5E17">
        <w:t>Lgs</w:t>
      </w:r>
      <w:proofErr w:type="spellEnd"/>
      <w:r w:rsidR="00AF5E17">
        <w:t xml:space="preserve">. n. </w:t>
      </w:r>
      <w:r w:rsidR="00D95DB0">
        <w:t>23/2015</w:t>
      </w:r>
      <w:r w:rsidR="00AF5E17">
        <w:t xml:space="preserve">), </w:t>
      </w:r>
      <w:r w:rsidR="00940EDD">
        <w:t>per espressa previsione dell</w:t>
      </w:r>
      <w:r w:rsidR="00AF5E17">
        <w:t xml:space="preserve">o stesso </w:t>
      </w:r>
      <w:r w:rsidR="00940EDD">
        <w:t>art. 27 determina “</w:t>
      </w:r>
      <w:r w:rsidR="00940EDD" w:rsidRPr="00940EDD">
        <w:rPr>
          <w:i/>
        </w:rPr>
        <w:t xml:space="preserve">la costituzione di un rapporto di lavoro alle dipendenze di quest'ultimo </w:t>
      </w:r>
      <w:r w:rsidR="00940EDD" w:rsidRPr="00940EDD">
        <w:t>(ndr. l’utilizzatore)</w:t>
      </w:r>
      <w:r w:rsidR="00940EDD" w:rsidRPr="00940EDD">
        <w:rPr>
          <w:i/>
        </w:rPr>
        <w:t>, con effetto dall'inizio della somministrazione</w:t>
      </w:r>
      <w:r w:rsidR="00940EDD">
        <w:t>”.</w:t>
      </w:r>
      <w:r w:rsidR="00D962EA">
        <w:t xml:space="preserve"> Ne segue che, qualora la somministrazione sia stata avviata prima del</w:t>
      </w:r>
      <w:r w:rsidR="00D962EA" w:rsidRPr="00D962EA">
        <w:t xml:space="preserve"> </w:t>
      </w:r>
      <w:r w:rsidR="00D95DB0">
        <w:t>7 marzo 2015</w:t>
      </w:r>
      <w:r w:rsidR="00D962EA">
        <w:t>,</w:t>
      </w:r>
      <w:r w:rsidR="00D962EA" w:rsidRPr="00D962EA">
        <w:t xml:space="preserve"> </w:t>
      </w:r>
      <w:r w:rsidR="00D962EA">
        <w:t xml:space="preserve">il rapporto di lavoro costituito per effetto della sentenza del giudice non </w:t>
      </w:r>
      <w:r w:rsidR="008B16E8">
        <w:t xml:space="preserve">potrà essere </w:t>
      </w:r>
      <w:r w:rsidR="00D962EA">
        <w:t xml:space="preserve">assoggettato alla disciplina del contratto a tutele crescenti di cui al D. </w:t>
      </w:r>
      <w:proofErr w:type="spellStart"/>
      <w:r w:rsidR="00D962EA">
        <w:t>Lgs</w:t>
      </w:r>
      <w:proofErr w:type="spellEnd"/>
      <w:r w:rsidR="00D962EA">
        <w:t xml:space="preserve">. n. </w:t>
      </w:r>
      <w:r w:rsidR="00D95DB0">
        <w:t>23/2015</w:t>
      </w:r>
      <w:r w:rsidR="00D962EA">
        <w:t>.</w:t>
      </w:r>
    </w:p>
    <w:p w:rsidR="00CC3CCA" w:rsidRPr="00D300F5" w:rsidRDefault="00CC3CCA" w:rsidP="00D300F5">
      <w:pPr>
        <w:contextualSpacing/>
      </w:pPr>
      <w:r>
        <w:t xml:space="preserve">Da ultimo, giova ricordare che la disciplina del contratto a tutele crescenti trova applicazione </w:t>
      </w:r>
      <w:r w:rsidR="008B16E8">
        <w:t xml:space="preserve">anche </w:t>
      </w:r>
      <w:r>
        <w:t xml:space="preserve">per tutte le nuove assunzioni effettuate </w:t>
      </w:r>
      <w:r w:rsidR="00460541">
        <w:t>da organizzazioni d</w:t>
      </w:r>
      <w:r w:rsidR="008B16E8">
        <w:t>i tendenza</w:t>
      </w:r>
      <w:r w:rsidR="00460541">
        <w:t xml:space="preserve"> </w:t>
      </w:r>
      <w:r w:rsidR="00460541">
        <w:lastRenderedPageBreak/>
        <w:t xml:space="preserve">nonché </w:t>
      </w:r>
      <w:r>
        <w:t>da piccole imprese (</w:t>
      </w:r>
      <w:proofErr w:type="spellStart"/>
      <w:r>
        <w:rPr>
          <w:i/>
        </w:rPr>
        <w:t>melius</w:t>
      </w:r>
      <w:proofErr w:type="spellEnd"/>
      <w:r>
        <w:t xml:space="preserve"> imprese che non soddisfano i requisiti dimensionali di cui all’art. 18, commi 8 e 9 della Legge n. 300/1970)</w:t>
      </w:r>
      <w:r w:rsidR="008B16E8">
        <w:t>, di cui tratteremo più avanti.</w:t>
      </w:r>
    </w:p>
    <w:p w:rsidR="00D300F5" w:rsidRDefault="00D300F5" w:rsidP="004B516E">
      <w:pPr>
        <w:contextualSpacing/>
      </w:pPr>
    </w:p>
    <w:p w:rsidR="00FC0066" w:rsidRDefault="00FC0066" w:rsidP="004B516E">
      <w:pPr>
        <w:contextualSpacing/>
      </w:pPr>
    </w:p>
    <w:tbl>
      <w:tblPr>
        <w:tblStyle w:val="Grigliatabella"/>
        <w:tblW w:w="0" w:type="auto"/>
        <w:tblLook w:val="04A0"/>
      </w:tblPr>
      <w:tblGrid>
        <w:gridCol w:w="4889"/>
        <w:gridCol w:w="4889"/>
      </w:tblGrid>
      <w:tr w:rsidR="00A32C37" w:rsidTr="00D16173">
        <w:tc>
          <w:tcPr>
            <w:tcW w:w="9778" w:type="dxa"/>
            <w:gridSpan w:val="2"/>
          </w:tcPr>
          <w:p w:rsidR="00A32C37" w:rsidRPr="00A32C37" w:rsidRDefault="00A32C37" w:rsidP="00766A78">
            <w:pPr>
              <w:jc w:val="center"/>
              <w:rPr>
                <w:b/>
              </w:rPr>
            </w:pPr>
            <w:r>
              <w:rPr>
                <w:b/>
              </w:rPr>
              <w:t>Quadro di sintesi</w:t>
            </w:r>
          </w:p>
        </w:tc>
      </w:tr>
      <w:tr w:rsidR="000346A2" w:rsidTr="000346A2">
        <w:tc>
          <w:tcPr>
            <w:tcW w:w="4889" w:type="dxa"/>
          </w:tcPr>
          <w:p w:rsidR="000346A2" w:rsidRPr="000346A2" w:rsidRDefault="000346A2" w:rsidP="000346A2">
            <w:pPr>
              <w:jc w:val="center"/>
              <w:rPr>
                <w:u w:val="single"/>
              </w:rPr>
            </w:pPr>
            <w:r>
              <w:rPr>
                <w:u w:val="single"/>
              </w:rPr>
              <w:t>Fattispecie</w:t>
            </w:r>
          </w:p>
        </w:tc>
        <w:tc>
          <w:tcPr>
            <w:tcW w:w="4889" w:type="dxa"/>
            <w:vAlign w:val="center"/>
          </w:tcPr>
          <w:p w:rsidR="000346A2" w:rsidRPr="000346A2" w:rsidRDefault="000346A2" w:rsidP="000346A2">
            <w:pPr>
              <w:jc w:val="center"/>
              <w:rPr>
                <w:u w:val="single"/>
              </w:rPr>
            </w:pPr>
            <w:r w:rsidRPr="000346A2">
              <w:rPr>
                <w:u w:val="single"/>
              </w:rPr>
              <w:t>Regim</w:t>
            </w:r>
            <w:r>
              <w:rPr>
                <w:u w:val="single"/>
              </w:rPr>
              <w:t>e di tutela</w:t>
            </w:r>
            <w:r w:rsidRPr="000346A2">
              <w:rPr>
                <w:u w:val="single"/>
              </w:rPr>
              <w:t xml:space="preserve"> </w:t>
            </w:r>
          </w:p>
        </w:tc>
      </w:tr>
      <w:tr w:rsidR="00A32C37" w:rsidTr="000346A2">
        <w:tc>
          <w:tcPr>
            <w:tcW w:w="4889" w:type="dxa"/>
          </w:tcPr>
          <w:p w:rsidR="00A32C37" w:rsidRPr="00A32C37" w:rsidRDefault="00A32C37" w:rsidP="00D95DB0">
            <w:pPr>
              <w:rPr>
                <w:i/>
              </w:rPr>
            </w:pPr>
            <w:r>
              <w:rPr>
                <w:i/>
              </w:rPr>
              <w:t xml:space="preserve">Assunzione a tempo indeterminato effettuata prima del </w:t>
            </w:r>
            <w:r w:rsidR="00D95DB0">
              <w:rPr>
                <w:i/>
              </w:rPr>
              <w:t xml:space="preserve">7 marzo 2015 </w:t>
            </w:r>
            <w:r>
              <w:rPr>
                <w:i/>
              </w:rPr>
              <w:t xml:space="preserve">da datore di lavoro con i requisiti dimensionali </w:t>
            </w:r>
            <w:r>
              <w:t xml:space="preserve">ex </w:t>
            </w:r>
            <w:r>
              <w:rPr>
                <w:i/>
              </w:rPr>
              <w:t xml:space="preserve">art. 18, commi </w:t>
            </w:r>
            <w:r w:rsidR="000346A2">
              <w:rPr>
                <w:i/>
              </w:rPr>
              <w:t>8 e 9 Legge n. 300/1970</w:t>
            </w:r>
          </w:p>
        </w:tc>
        <w:tc>
          <w:tcPr>
            <w:tcW w:w="4889" w:type="dxa"/>
            <w:vAlign w:val="center"/>
          </w:tcPr>
          <w:p w:rsidR="000346A2" w:rsidRDefault="000346A2" w:rsidP="000346A2">
            <w:pPr>
              <w:jc w:val="center"/>
            </w:pPr>
            <w:r>
              <w:t xml:space="preserve">Tutela reale </w:t>
            </w:r>
          </w:p>
          <w:p w:rsidR="00A32C37" w:rsidRDefault="000346A2" w:rsidP="000346A2">
            <w:pPr>
              <w:jc w:val="center"/>
            </w:pPr>
            <w:r>
              <w:t>(art. 18, L. n. 300/1970)</w:t>
            </w:r>
          </w:p>
        </w:tc>
      </w:tr>
      <w:tr w:rsidR="000346A2" w:rsidTr="000346A2">
        <w:tc>
          <w:tcPr>
            <w:tcW w:w="4889" w:type="dxa"/>
          </w:tcPr>
          <w:p w:rsidR="000346A2" w:rsidRDefault="000346A2" w:rsidP="000346A2">
            <w:r>
              <w:rPr>
                <w:i/>
              </w:rPr>
              <w:t xml:space="preserve">Assunzione a tempo indeterminato effettuata prima del </w:t>
            </w:r>
            <w:r w:rsidR="00D95DB0">
              <w:rPr>
                <w:i/>
              </w:rPr>
              <w:t>7 marzo 2015:</w:t>
            </w:r>
          </w:p>
          <w:p w:rsidR="000346A2" w:rsidRDefault="000346A2" w:rsidP="000346A2">
            <w:pPr>
              <w:pStyle w:val="Paragrafoelenco"/>
              <w:numPr>
                <w:ilvl w:val="0"/>
                <w:numId w:val="1"/>
              </w:numPr>
              <w:rPr>
                <w:i/>
              </w:rPr>
            </w:pPr>
            <w:r w:rsidRPr="000346A2">
              <w:rPr>
                <w:i/>
              </w:rPr>
              <w:t xml:space="preserve">da datore di lavoro privo dei requisiti dimensionali </w:t>
            </w:r>
            <w:r>
              <w:t xml:space="preserve">ex </w:t>
            </w:r>
            <w:r w:rsidRPr="000346A2">
              <w:rPr>
                <w:i/>
              </w:rPr>
              <w:t>art. 18, commi 8 e 9 Legge n. 300/1970</w:t>
            </w:r>
            <w:r>
              <w:rPr>
                <w:i/>
              </w:rPr>
              <w:t>;</w:t>
            </w:r>
          </w:p>
          <w:p w:rsidR="000346A2" w:rsidRPr="000346A2" w:rsidRDefault="000346A2" w:rsidP="000346A2">
            <w:pPr>
              <w:pStyle w:val="Paragrafoelenco"/>
              <w:numPr>
                <w:ilvl w:val="0"/>
                <w:numId w:val="1"/>
              </w:numPr>
              <w:rPr>
                <w:i/>
              </w:rPr>
            </w:pPr>
            <w:r>
              <w:rPr>
                <w:i/>
              </w:rPr>
              <w:t>da organizzazione di tendenza.</w:t>
            </w:r>
          </w:p>
        </w:tc>
        <w:tc>
          <w:tcPr>
            <w:tcW w:w="4889" w:type="dxa"/>
            <w:vAlign w:val="center"/>
          </w:tcPr>
          <w:p w:rsidR="000346A2" w:rsidRDefault="000346A2" w:rsidP="000346A2">
            <w:pPr>
              <w:jc w:val="center"/>
            </w:pPr>
            <w:r>
              <w:t>Tutela obbligatoria</w:t>
            </w:r>
          </w:p>
          <w:p w:rsidR="000346A2" w:rsidRDefault="000346A2" w:rsidP="000346A2">
            <w:pPr>
              <w:jc w:val="center"/>
            </w:pPr>
            <w:r>
              <w:t>(art. 8, L. n. 604/1966)</w:t>
            </w:r>
          </w:p>
        </w:tc>
      </w:tr>
      <w:tr w:rsidR="000346A2" w:rsidTr="000346A2">
        <w:tc>
          <w:tcPr>
            <w:tcW w:w="4889" w:type="dxa"/>
          </w:tcPr>
          <w:p w:rsidR="000346A2" w:rsidRPr="00A32C37" w:rsidRDefault="000346A2" w:rsidP="00D95DB0">
            <w:pPr>
              <w:jc w:val="center"/>
              <w:rPr>
                <w:i/>
              </w:rPr>
            </w:pPr>
            <w:r>
              <w:rPr>
                <w:i/>
              </w:rPr>
              <w:t xml:space="preserve">Assunzione a tempo indeterminato a decorrere dal </w:t>
            </w:r>
            <w:r w:rsidR="00D95DB0">
              <w:rPr>
                <w:i/>
              </w:rPr>
              <w:t>7 marzo 2015</w:t>
            </w:r>
          </w:p>
        </w:tc>
        <w:tc>
          <w:tcPr>
            <w:tcW w:w="4889" w:type="dxa"/>
            <w:vAlign w:val="center"/>
          </w:tcPr>
          <w:p w:rsidR="000346A2" w:rsidRDefault="000346A2" w:rsidP="000346A2">
            <w:pPr>
              <w:jc w:val="center"/>
            </w:pPr>
            <w:r>
              <w:t>Tutele crescenti</w:t>
            </w:r>
          </w:p>
          <w:p w:rsidR="00C956B1" w:rsidRDefault="00C956B1" w:rsidP="00D95DB0">
            <w:pPr>
              <w:jc w:val="center"/>
            </w:pPr>
            <w:r>
              <w:t xml:space="preserve">(D. </w:t>
            </w:r>
            <w:proofErr w:type="spellStart"/>
            <w:r>
              <w:t>Lgs</w:t>
            </w:r>
            <w:proofErr w:type="spellEnd"/>
            <w:r>
              <w:t>. n.</w:t>
            </w:r>
            <w:r w:rsidR="00D95DB0">
              <w:t>23/2015</w:t>
            </w:r>
            <w:r>
              <w:t>)</w:t>
            </w:r>
          </w:p>
        </w:tc>
      </w:tr>
      <w:tr w:rsidR="00C55672" w:rsidTr="000346A2">
        <w:tc>
          <w:tcPr>
            <w:tcW w:w="4889" w:type="dxa"/>
          </w:tcPr>
          <w:p w:rsidR="00C55672" w:rsidRPr="00C55672" w:rsidRDefault="00C55672" w:rsidP="00D95DB0">
            <w:pPr>
              <w:jc w:val="center"/>
              <w:rPr>
                <w:i/>
              </w:rPr>
            </w:pPr>
            <w:r>
              <w:rPr>
                <w:i/>
              </w:rPr>
              <w:t xml:space="preserve">Lavoratore dipendente da impresa che raggiunge </w:t>
            </w:r>
            <w:r w:rsidRPr="00C956B1">
              <w:rPr>
                <w:i/>
              </w:rPr>
              <w:t>i</w:t>
            </w:r>
            <w:r>
              <w:t xml:space="preserve"> </w:t>
            </w:r>
            <w:r w:rsidRPr="000346A2">
              <w:rPr>
                <w:i/>
              </w:rPr>
              <w:t xml:space="preserve">requisiti dimensionali </w:t>
            </w:r>
            <w:r>
              <w:t xml:space="preserve">ex </w:t>
            </w:r>
            <w:r w:rsidRPr="000346A2">
              <w:rPr>
                <w:i/>
              </w:rPr>
              <w:t>art. 18, commi 8 e 9 Legge n. 300/1970</w:t>
            </w:r>
            <w:r w:rsidR="00356D4C">
              <w:rPr>
                <w:i/>
              </w:rPr>
              <w:t xml:space="preserve"> a decorrere dal </w:t>
            </w:r>
            <w:r w:rsidR="00D95DB0">
              <w:rPr>
                <w:i/>
              </w:rPr>
              <w:t>7 marzo 2015</w:t>
            </w:r>
            <w:r w:rsidR="00356D4C">
              <w:rPr>
                <w:i/>
              </w:rPr>
              <w:t xml:space="preserve"> con assunzione con contratto a tutele crescenti</w:t>
            </w:r>
          </w:p>
        </w:tc>
        <w:tc>
          <w:tcPr>
            <w:tcW w:w="4889" w:type="dxa"/>
            <w:vAlign w:val="center"/>
          </w:tcPr>
          <w:p w:rsidR="00C55672" w:rsidRDefault="00C55672" w:rsidP="00D16173">
            <w:pPr>
              <w:jc w:val="center"/>
            </w:pPr>
            <w:r>
              <w:t>Tutele crescenti</w:t>
            </w:r>
          </w:p>
          <w:p w:rsidR="00C55672" w:rsidRDefault="00C55672" w:rsidP="00D95DB0">
            <w:pPr>
              <w:jc w:val="center"/>
            </w:pPr>
            <w:r>
              <w:t xml:space="preserve">(D. </w:t>
            </w:r>
            <w:proofErr w:type="spellStart"/>
            <w:r>
              <w:t>Lgs</w:t>
            </w:r>
            <w:proofErr w:type="spellEnd"/>
            <w:r>
              <w:t>. n.</w:t>
            </w:r>
            <w:r w:rsidR="00D95DB0">
              <w:t>23/2015</w:t>
            </w:r>
            <w:r>
              <w:t>)</w:t>
            </w:r>
          </w:p>
        </w:tc>
      </w:tr>
    </w:tbl>
    <w:p w:rsidR="00A32C37" w:rsidRPr="00A32C37" w:rsidRDefault="00A32C37" w:rsidP="00766A78">
      <w:pPr>
        <w:jc w:val="center"/>
      </w:pPr>
    </w:p>
    <w:p w:rsidR="00A32C37" w:rsidRDefault="00A32C37" w:rsidP="00766A78">
      <w:pPr>
        <w:jc w:val="center"/>
        <w:rPr>
          <w:i/>
        </w:rPr>
      </w:pPr>
    </w:p>
    <w:p w:rsidR="00766A78" w:rsidRDefault="00916D07" w:rsidP="00916D07">
      <w:pPr>
        <w:pStyle w:val="Titolo1"/>
      </w:pPr>
      <w:bookmarkStart w:id="2" w:name="_Toc413232543"/>
      <w:r>
        <w:t>Nuovo regime sanzionatorio del licenziamento illegittimo</w:t>
      </w:r>
      <w:r w:rsidR="00BC3D97">
        <w:t xml:space="preserve"> e disposizioni generali (artt. 5, 7 e 8)</w:t>
      </w:r>
      <w:r w:rsidR="00766A78">
        <w:t>.</w:t>
      </w:r>
      <w:bookmarkEnd w:id="2"/>
    </w:p>
    <w:p w:rsidR="00916D07" w:rsidRDefault="00916D07" w:rsidP="00916D07">
      <w:r>
        <w:t xml:space="preserve">La </w:t>
      </w:r>
      <w:proofErr w:type="spellStart"/>
      <w:r>
        <w:rPr>
          <w:i/>
        </w:rPr>
        <w:t>ratio</w:t>
      </w:r>
      <w:proofErr w:type="spellEnd"/>
      <w:r>
        <w:t xml:space="preserve"> della nuova riforma della disciplina del licenziamento è quella di rafforzare </w:t>
      </w:r>
      <w:r w:rsidR="0017108E">
        <w:t xml:space="preserve">il percorso di maggiore certezza del diritto e prevedibilità delle sanzioni già avviato con la cd. riforma </w:t>
      </w:r>
      <w:proofErr w:type="spellStart"/>
      <w:r w:rsidR="0017108E">
        <w:t>Fornero</w:t>
      </w:r>
      <w:proofErr w:type="spellEnd"/>
      <w:r w:rsidR="0017108E">
        <w:t xml:space="preserve"> (Legge n. 92/2012).</w:t>
      </w:r>
    </w:p>
    <w:p w:rsidR="0017108E" w:rsidRDefault="0017108E" w:rsidP="00916D07">
      <w:r>
        <w:t xml:space="preserve">A tal fine </w:t>
      </w:r>
      <w:r w:rsidR="00CC3CCA">
        <w:t xml:space="preserve">già con il principio di delega contenuto nell’art. 1, comma 7, lett. c, della Legge n. 183/2014, il legislatore ha voluto improntare la riforma del Jobs </w:t>
      </w:r>
      <w:proofErr w:type="spellStart"/>
      <w:r w:rsidR="00CC3CCA">
        <w:t>Act</w:t>
      </w:r>
      <w:proofErr w:type="spellEnd"/>
      <w:r w:rsidR="00CC3CCA">
        <w:t xml:space="preserve"> ai seguenti criteri ispiratori:</w:t>
      </w:r>
    </w:p>
    <w:p w:rsidR="00C13676" w:rsidRDefault="00C13676" w:rsidP="00C13676">
      <w:pPr>
        <w:pStyle w:val="Paragrafoelenco"/>
        <w:numPr>
          <w:ilvl w:val="0"/>
          <w:numId w:val="3"/>
        </w:numPr>
        <w:ind w:left="284" w:hanging="284"/>
        <w:contextualSpacing w:val="0"/>
      </w:pPr>
      <w:r>
        <w:t xml:space="preserve">la tutela risarcitoria dell’indennizzo economico diviene la regola generale in caso di dichiarazione di illegittimità del licenziamento e, conseguentemente, </w:t>
      </w:r>
      <w:r w:rsidR="00D46841">
        <w:t xml:space="preserve">le ipotesi di reintegrazione </w:t>
      </w:r>
      <w:r>
        <w:t>hanno carattere residuale e tassativo;</w:t>
      </w:r>
    </w:p>
    <w:p w:rsidR="00C13676" w:rsidRDefault="00C13676" w:rsidP="00CC3CCA">
      <w:pPr>
        <w:pStyle w:val="Paragrafoelenco"/>
        <w:numPr>
          <w:ilvl w:val="0"/>
          <w:numId w:val="3"/>
        </w:numPr>
        <w:ind w:left="284" w:hanging="284"/>
      </w:pPr>
      <w:r>
        <w:t xml:space="preserve">certezza e </w:t>
      </w:r>
      <w:proofErr w:type="spellStart"/>
      <w:r>
        <w:t>pre</w:t>
      </w:r>
      <w:r w:rsidR="001D70EC">
        <w:t>determinabilità</w:t>
      </w:r>
      <w:proofErr w:type="spellEnd"/>
      <w:r>
        <w:t xml:space="preserve"> </w:t>
      </w:r>
      <w:r w:rsidR="001D70EC">
        <w:t xml:space="preserve">della misura </w:t>
      </w:r>
      <w:r>
        <w:t xml:space="preserve">dell’indennizzo economico </w:t>
      </w:r>
      <w:r w:rsidR="001D70EC">
        <w:t xml:space="preserve">che viene </w:t>
      </w:r>
      <w:proofErr w:type="spellStart"/>
      <w:r w:rsidR="001D70EC">
        <w:t>parametrato</w:t>
      </w:r>
      <w:proofErr w:type="spellEnd"/>
      <w:r w:rsidR="001D70EC">
        <w:t xml:space="preserve"> all’anzianità di servizio del lavoratore.</w:t>
      </w:r>
    </w:p>
    <w:p w:rsidR="00EC0626" w:rsidRDefault="00533E76" w:rsidP="006A3786">
      <w:r>
        <w:t>Su questo secondo punto merita di essere evidenziato che il Governo, in sede di approvazione definitiva del Decreto Legislativo, ha chiarito</w:t>
      </w:r>
      <w:r w:rsidR="008B16E8">
        <w:t>, anche su richiesta di Confindustria,</w:t>
      </w:r>
      <w:r>
        <w:t xml:space="preserve"> quale sia la retribuzione/parametro da utilizzare per il calcolo della misura dell</w:t>
      </w:r>
      <w:r w:rsidR="00EC0626">
        <w:t xml:space="preserve">e </w:t>
      </w:r>
      <w:r>
        <w:t>indennità</w:t>
      </w:r>
      <w:r w:rsidR="00EC0626">
        <w:t xml:space="preserve"> risarcitorie previste dalla legge: l’ultima retribuzione di riferimento per il </w:t>
      </w:r>
      <w:r w:rsidR="00EC0626">
        <w:lastRenderedPageBreak/>
        <w:t>calcolo del trattamento di fine rapporto</w:t>
      </w:r>
      <w:r w:rsidR="00DF7AF3">
        <w:t xml:space="preserve"> che</w:t>
      </w:r>
      <w:r w:rsidR="008B16E8">
        <w:t>, a nostro avviso (e salve le interpretazione che potranno venire dal Ministero del Lavoro), dovrebbe riferirsi all’ultima retribuzione mensile presa a riferimento per il calcolo del trattamento di fine rapporto</w:t>
      </w:r>
      <w:r w:rsidR="00EC0626">
        <w:t xml:space="preserve">. </w:t>
      </w:r>
      <w:r w:rsidR="00733E9C">
        <w:t>Viene</w:t>
      </w:r>
      <w:r w:rsidR="008B16E8">
        <w:t>,</w:t>
      </w:r>
      <w:r w:rsidR="00733E9C">
        <w:t xml:space="preserve"> quindi</w:t>
      </w:r>
      <w:r w:rsidR="008B16E8">
        <w:t>,</w:t>
      </w:r>
      <w:r w:rsidR="00733E9C">
        <w:t xml:space="preserve"> meno il generico riferimento all’ultima retribuzione </w:t>
      </w:r>
      <w:r w:rsidR="002310AA">
        <w:t xml:space="preserve">globale di </w:t>
      </w:r>
      <w:r w:rsidR="002D6DD8">
        <w:t>fatto, più incerto nella sua determinazione, rispetto al</w:t>
      </w:r>
      <w:r w:rsidR="006A3786">
        <w:t>la retribuzione eventualmente definita dai contratti collettivi a</w:t>
      </w:r>
      <w:r w:rsidR="000E494E">
        <w:t>i sensi dell’art. 2120, comma 2,</w:t>
      </w:r>
      <w:r w:rsidR="006A3786">
        <w:t xml:space="preserve"> </w:t>
      </w:r>
      <w:proofErr w:type="spellStart"/>
      <w:r w:rsidR="006A3786">
        <w:t>c.c</w:t>
      </w:r>
      <w:proofErr w:type="spellEnd"/>
      <w:r w:rsidR="006A3786">
        <w:t>.</w:t>
      </w:r>
      <w:r w:rsidR="008B16E8">
        <w:t>.</w:t>
      </w:r>
    </w:p>
    <w:p w:rsidR="007F0F8F" w:rsidRDefault="00352893" w:rsidP="006A3786">
      <w:pPr>
        <w:contextualSpacing/>
      </w:pPr>
      <w:r>
        <w:t xml:space="preserve">L’altro parametro di riferimento </w:t>
      </w:r>
      <w:r w:rsidR="00AE6A62">
        <w:t>è l’anzianità di servizio. Di regola questa viene determinata sulla base degli anni di durata del rapporto di lavoro</w:t>
      </w:r>
      <w:r w:rsidR="007F0F8F">
        <w:t xml:space="preserve"> dal momento dell’assunzione fino a quello della cessazione del rapporto di lavoro medesimo</w:t>
      </w:r>
      <w:r w:rsidR="00AE6A62">
        <w:t>.</w:t>
      </w:r>
    </w:p>
    <w:p w:rsidR="007F0F8F" w:rsidRDefault="007F0F8F" w:rsidP="006A3786">
      <w:pPr>
        <w:contextualSpacing/>
      </w:pPr>
    </w:p>
    <w:p w:rsidR="00041EAE" w:rsidRDefault="00041EAE" w:rsidP="006A3786">
      <w:pPr>
        <w:contextualSpacing/>
      </w:pPr>
      <w:r>
        <w:t xml:space="preserve">Si ricorda che non determinano la cessazione del rapporto di lavoro né il trasferimento di azienda </w:t>
      </w:r>
      <w:r>
        <w:rPr>
          <w:i/>
        </w:rPr>
        <w:t xml:space="preserve">ex </w:t>
      </w:r>
      <w:r>
        <w:t>art. 2112 c.c.</w:t>
      </w:r>
      <w:r>
        <w:rPr>
          <w:rStyle w:val="Rimandonotaapidipagina"/>
        </w:rPr>
        <w:footnoteReference w:id="2"/>
      </w:r>
      <w:r>
        <w:t xml:space="preserve">, né la cessione del contratto </w:t>
      </w:r>
      <w:r>
        <w:rPr>
          <w:i/>
        </w:rPr>
        <w:t xml:space="preserve">ex </w:t>
      </w:r>
      <w:r>
        <w:t>art. 1406 e ss. c.c., trattandosi di ipotesi nelle quali si verifica la prosecuzione del rapporto di lavoro</w:t>
      </w:r>
      <w:r w:rsidR="008902A3">
        <w:t>,</w:t>
      </w:r>
      <w:r>
        <w:t xml:space="preserve"> sebbene vi sia una modificazione del datore di lavoro beneficiario della prestazione.  </w:t>
      </w:r>
    </w:p>
    <w:p w:rsidR="00DE7758" w:rsidRDefault="00DE7758" w:rsidP="006A3786">
      <w:pPr>
        <w:contextualSpacing/>
      </w:pPr>
    </w:p>
    <w:p w:rsidR="00D757B9" w:rsidRDefault="00DE7758" w:rsidP="006A3786">
      <w:pPr>
        <w:contextualSpacing/>
      </w:pPr>
      <w:r>
        <w:t>L’art. 7 prevede poi un’ipotesi particolare per i casi di successione di aziende in un appalto: in tale ipotesi il legislatore ha espressamente previsto che “</w:t>
      </w:r>
      <w:r w:rsidRPr="00DE7758">
        <w:rPr>
          <w:i/>
        </w:rPr>
        <w:t>l’anzianità di servizio del lavoratore che passa alle dipendenze dell’impresa subentrante nell’appalto si computa tenendosi conto di tutto il periodo durante il quale il lavoratore è stato impiegato nell’attività appaltata</w:t>
      </w:r>
      <w:r>
        <w:t>”.</w:t>
      </w:r>
    </w:p>
    <w:p w:rsidR="00D757B9" w:rsidRPr="00DE7758" w:rsidRDefault="00D757B9" w:rsidP="006A3786">
      <w:pPr>
        <w:contextualSpacing/>
      </w:pPr>
      <w:r>
        <w:t xml:space="preserve">Tale disposizione rappresenta, pertanto, una deroga parziale </w:t>
      </w:r>
      <w:r w:rsidR="008B16E8">
        <w:t xml:space="preserve">- </w:t>
      </w:r>
      <w:r>
        <w:t xml:space="preserve">ed ai soli fini della </w:t>
      </w:r>
      <w:r w:rsidR="008B16E8">
        <w:t xml:space="preserve">determinazione dell’anzianità di servizio ai fini della </w:t>
      </w:r>
      <w:r>
        <w:t>disciplina del contratto a tutele crescenti</w:t>
      </w:r>
      <w:r w:rsidR="008B16E8">
        <w:t xml:space="preserve"> -</w:t>
      </w:r>
      <w:r>
        <w:t xml:space="preserve"> al regime giuridico applica</w:t>
      </w:r>
      <w:r w:rsidR="008B16E8">
        <w:t xml:space="preserve">bile alle ipotesi di cambio di </w:t>
      </w:r>
      <w:r>
        <w:t>appalto</w:t>
      </w:r>
      <w:r w:rsidR="008902A3">
        <w:t>,</w:t>
      </w:r>
      <w:r>
        <w:t xml:space="preserve"> nelle quali non trova applicazione la disciplina dell’art. 2112 c.c., ivi inclusa quella prevista dall’art. 29, comma 3 del </w:t>
      </w:r>
      <w:proofErr w:type="spellStart"/>
      <w:r>
        <w:t>D.Lgs.</w:t>
      </w:r>
      <w:proofErr w:type="spellEnd"/>
      <w:r>
        <w:t xml:space="preserve"> n. 276/2003.</w:t>
      </w:r>
    </w:p>
    <w:p w:rsidR="007F0F8F" w:rsidRDefault="007F0F8F" w:rsidP="006A3786">
      <w:pPr>
        <w:contextualSpacing/>
      </w:pPr>
    </w:p>
    <w:p w:rsidR="00AE6A62" w:rsidRDefault="002301B3" w:rsidP="006A3786">
      <w:r>
        <w:t>L</w:t>
      </w:r>
      <w:r w:rsidR="00250734">
        <w:t xml:space="preserve">’art. 8 del D. </w:t>
      </w:r>
      <w:proofErr w:type="spellStart"/>
      <w:r w:rsidR="00250734">
        <w:t>Lgs</w:t>
      </w:r>
      <w:proofErr w:type="spellEnd"/>
      <w:r w:rsidR="00250734">
        <w:t xml:space="preserve">. n. 23/2015 </w:t>
      </w:r>
      <w:r w:rsidR="00AE6A62">
        <w:t>disciplina</w:t>
      </w:r>
      <w:r w:rsidR="008B16E8">
        <w:t xml:space="preserve"> espressamente</w:t>
      </w:r>
      <w:r w:rsidR="00AE6A62">
        <w:t xml:space="preserve"> le modalità di </w:t>
      </w:r>
      <w:r>
        <w:t>computo dell’anzianità di servizio</w:t>
      </w:r>
      <w:r w:rsidR="0021079A">
        <w:t>,</w:t>
      </w:r>
      <w:r>
        <w:t xml:space="preserve"> </w:t>
      </w:r>
      <w:r w:rsidR="0021079A">
        <w:t>prevedendo</w:t>
      </w:r>
      <w:r w:rsidR="008902A3">
        <w:t>,</w:t>
      </w:r>
      <w:r w:rsidR="0021079A">
        <w:t xml:space="preserve"> per </w:t>
      </w:r>
      <w:r w:rsidR="00AE6A62">
        <w:t>le frazioni di anno</w:t>
      </w:r>
      <w:r w:rsidR="008902A3">
        <w:t>,</w:t>
      </w:r>
      <w:r w:rsidR="00AE6A62">
        <w:t xml:space="preserve"> </w:t>
      </w:r>
      <w:r w:rsidR="007F0F8F">
        <w:t xml:space="preserve">il </w:t>
      </w:r>
      <w:proofErr w:type="spellStart"/>
      <w:r w:rsidR="007F0F8F">
        <w:t>riproporzionamento</w:t>
      </w:r>
      <w:proofErr w:type="spellEnd"/>
      <w:r w:rsidR="007F0F8F">
        <w:t xml:space="preserve"> dell</w:t>
      </w:r>
      <w:r w:rsidR="0021079A">
        <w:t>a misura dell’</w:t>
      </w:r>
      <w:r w:rsidR="007F0F8F">
        <w:t>indennità. A tal fine</w:t>
      </w:r>
      <w:r>
        <w:t>,</w:t>
      </w:r>
      <w:r w:rsidR="007F0F8F">
        <w:t xml:space="preserve"> si prevede che le frazioni uguali o superiori a quindici giorni si computano come mese intero.</w:t>
      </w:r>
    </w:p>
    <w:p w:rsidR="00C16368" w:rsidRDefault="00A42303" w:rsidP="006A3786">
      <w:pPr>
        <w:contextualSpacing/>
      </w:pPr>
      <w:r>
        <w:t xml:space="preserve">Infine, si segnala che l’art. 5 del D. </w:t>
      </w:r>
      <w:proofErr w:type="spellStart"/>
      <w:r>
        <w:t>Lgs</w:t>
      </w:r>
      <w:proofErr w:type="spellEnd"/>
      <w:r>
        <w:t>. n.</w:t>
      </w:r>
      <w:r w:rsidR="00250734" w:rsidRPr="00250734">
        <w:t xml:space="preserve"> </w:t>
      </w:r>
      <w:r w:rsidR="00250734">
        <w:t xml:space="preserve">23/2015 </w:t>
      </w:r>
      <w:r>
        <w:t>prevede anche per il contratto a tutele crescenti la medesima disciplina della revoca del licenziamento contenuta nell’art. 18, comma 10, della Legge n. 300/1970.</w:t>
      </w:r>
      <w:r w:rsidR="00C16368">
        <w:t xml:space="preserve"> </w:t>
      </w:r>
    </w:p>
    <w:p w:rsidR="00A42303" w:rsidRDefault="00C16368" w:rsidP="006A3786">
      <w:r>
        <w:t xml:space="preserve">Si ricorda, in particolare, che la facoltà di revoca del licenziamento deve essere esercitata dal datore di lavoro nel termine di 15 giorni dalla comunicazione al datore di lavoro dell’impugnazione del licenziamento medesimo e che </w:t>
      </w:r>
      <w:r w:rsidR="00E8481D">
        <w:t xml:space="preserve">la revoca </w:t>
      </w:r>
      <w:r>
        <w:t>determina il ripristino del rapporto di lavoro tra le parti senza soluzione di continuità.</w:t>
      </w:r>
      <w:r w:rsidR="00896C6B">
        <w:t xml:space="preserve"> Conseguentemente, il lavoratore ha diritto alla retribuzione spettante per il periodo anteriore alla revoca mentre resta esclusa l’applicazione dei regimi sanzionatori previsti per il licenziamento illegittimo.</w:t>
      </w:r>
    </w:p>
    <w:p w:rsidR="006A3786" w:rsidRDefault="003378DA" w:rsidP="004B516E">
      <w:pPr>
        <w:contextualSpacing/>
      </w:pPr>
      <w:r>
        <w:lastRenderedPageBreak/>
        <w:t xml:space="preserve">Prima di procedere all’esame delle singole disposizioni si anticipa uno schema riassuntivo delle sanzioni previste dal Decreto Legislativo </w:t>
      </w:r>
      <w:r w:rsidR="00435B13">
        <w:t xml:space="preserve">n. </w:t>
      </w:r>
      <w:r w:rsidR="00250734">
        <w:t>23/2015 i</w:t>
      </w:r>
      <w:r w:rsidR="00435B13">
        <w:t>n caso di illegittimità del licenziamento intimato ad un lavoratore cui si applica il contratto a tutele crescenti.</w:t>
      </w:r>
    </w:p>
    <w:p w:rsidR="000E494E" w:rsidRDefault="000E494E" w:rsidP="004B516E">
      <w:pPr>
        <w:contextualSpacing/>
      </w:pPr>
    </w:p>
    <w:p w:rsidR="00EC551A" w:rsidRDefault="00EC551A" w:rsidP="004B516E">
      <w:pPr>
        <w:contextualSpacing/>
      </w:pPr>
    </w:p>
    <w:p w:rsidR="000E494E" w:rsidRDefault="000E494E" w:rsidP="004B516E">
      <w:pPr>
        <w:contextualSpacing/>
      </w:pPr>
    </w:p>
    <w:tbl>
      <w:tblPr>
        <w:tblStyle w:val="Grigliatabella"/>
        <w:tblW w:w="9639" w:type="dxa"/>
        <w:tblInd w:w="28" w:type="dxa"/>
        <w:tblLayout w:type="fixed"/>
        <w:tblLook w:val="04A0"/>
      </w:tblPr>
      <w:tblGrid>
        <w:gridCol w:w="1927"/>
        <w:gridCol w:w="1928"/>
        <w:gridCol w:w="1928"/>
        <w:gridCol w:w="1928"/>
        <w:gridCol w:w="1928"/>
      </w:tblGrid>
      <w:tr w:rsidR="00EC551A" w:rsidRPr="00EE078C" w:rsidTr="00EC551A">
        <w:tc>
          <w:tcPr>
            <w:tcW w:w="1927"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b/>
                <w:sz w:val="22"/>
              </w:rPr>
            </w:pPr>
            <w:r w:rsidRPr="00EE078C">
              <w:rPr>
                <w:rFonts w:asciiTheme="minorHAnsi" w:hAnsiTheme="minorHAnsi" w:cstheme="minorHAnsi"/>
                <w:b/>
                <w:sz w:val="22"/>
              </w:rPr>
              <w:t>Ipotesi</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b/>
                <w:sz w:val="22"/>
              </w:rPr>
            </w:pPr>
            <w:r w:rsidRPr="00EE078C">
              <w:rPr>
                <w:rFonts w:asciiTheme="minorHAnsi" w:hAnsiTheme="minorHAnsi" w:cstheme="minorHAnsi"/>
                <w:b/>
                <w:sz w:val="22"/>
              </w:rPr>
              <w:t>Tutela</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b/>
                <w:sz w:val="22"/>
              </w:rPr>
            </w:pPr>
            <w:r w:rsidRPr="00EE078C">
              <w:rPr>
                <w:rFonts w:asciiTheme="minorHAnsi" w:hAnsiTheme="minorHAnsi" w:cstheme="minorHAnsi"/>
                <w:b/>
                <w:sz w:val="22"/>
              </w:rPr>
              <w:t>Importo minimo</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b/>
                <w:sz w:val="22"/>
              </w:rPr>
            </w:pPr>
            <w:r w:rsidRPr="00EE078C">
              <w:rPr>
                <w:rFonts w:asciiTheme="minorHAnsi" w:hAnsiTheme="minorHAnsi" w:cstheme="minorHAnsi"/>
                <w:b/>
                <w:sz w:val="22"/>
              </w:rPr>
              <w:t>Importo massimo</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b/>
                <w:sz w:val="22"/>
              </w:rPr>
            </w:pPr>
            <w:r w:rsidRPr="00EE078C">
              <w:rPr>
                <w:rFonts w:asciiTheme="minorHAnsi" w:hAnsiTheme="minorHAnsi" w:cstheme="minorHAnsi"/>
                <w:b/>
                <w:sz w:val="22"/>
              </w:rPr>
              <w:t>Contribuzione previdenziale</w:t>
            </w:r>
          </w:p>
        </w:tc>
      </w:tr>
      <w:tr w:rsidR="00EC551A" w:rsidRPr="00EE078C" w:rsidTr="00EC551A">
        <w:tc>
          <w:tcPr>
            <w:tcW w:w="1927" w:type="dxa"/>
            <w:tcMar>
              <w:left w:w="28" w:type="dxa"/>
              <w:right w:w="28" w:type="dxa"/>
            </w:tcMar>
            <w:vAlign w:val="center"/>
          </w:tcPr>
          <w:p w:rsidR="00EC551A" w:rsidRPr="00001BBF" w:rsidRDefault="00EC551A" w:rsidP="00D16173">
            <w:pPr>
              <w:spacing w:line="202" w:lineRule="auto"/>
              <w:jc w:val="center"/>
              <w:rPr>
                <w:rFonts w:asciiTheme="minorHAnsi" w:hAnsiTheme="minorHAnsi" w:cstheme="minorHAnsi"/>
                <w:b/>
                <w:sz w:val="22"/>
              </w:rPr>
            </w:pPr>
            <w:r w:rsidRPr="00001BBF">
              <w:rPr>
                <w:rFonts w:asciiTheme="minorHAnsi" w:hAnsiTheme="minorHAnsi" w:cstheme="minorHAnsi"/>
                <w:b/>
                <w:sz w:val="22"/>
              </w:rPr>
              <w:t>Licenziamento illegittimo</w:t>
            </w:r>
          </w:p>
          <w:p w:rsidR="00EC551A" w:rsidRPr="00001BBF" w:rsidRDefault="00EC551A" w:rsidP="00D16173">
            <w:pPr>
              <w:spacing w:line="202" w:lineRule="auto"/>
              <w:jc w:val="center"/>
              <w:rPr>
                <w:rFonts w:asciiTheme="minorHAnsi" w:hAnsiTheme="minorHAnsi" w:cstheme="minorHAnsi"/>
                <w:b/>
                <w:sz w:val="22"/>
              </w:rPr>
            </w:pPr>
            <w:r w:rsidRPr="00001BBF">
              <w:rPr>
                <w:rFonts w:asciiTheme="minorHAnsi" w:hAnsiTheme="minorHAnsi" w:cstheme="minorHAnsi"/>
                <w:b/>
                <w:sz w:val="22"/>
              </w:rPr>
              <w:t>(regime generale)</w:t>
            </w:r>
          </w:p>
        </w:tc>
        <w:tc>
          <w:tcPr>
            <w:tcW w:w="1928" w:type="dxa"/>
            <w:tcMar>
              <w:left w:w="28" w:type="dxa"/>
              <w:right w:w="28" w:type="dxa"/>
            </w:tcMar>
          </w:tcPr>
          <w:p w:rsidR="00EC551A" w:rsidRPr="00EE078C" w:rsidRDefault="00EC551A" w:rsidP="00D16173">
            <w:pPr>
              <w:spacing w:line="202" w:lineRule="auto"/>
              <w:jc w:val="center"/>
              <w:rPr>
                <w:rFonts w:asciiTheme="minorHAnsi" w:hAnsiTheme="minorHAnsi" w:cstheme="minorHAnsi"/>
                <w:sz w:val="22"/>
                <w:u w:val="single"/>
              </w:rPr>
            </w:pPr>
            <w:r w:rsidRPr="00EE078C">
              <w:rPr>
                <w:rFonts w:asciiTheme="minorHAnsi" w:hAnsiTheme="minorHAnsi" w:cstheme="minorHAnsi"/>
                <w:sz w:val="22"/>
                <w:u w:val="single"/>
              </w:rPr>
              <w:t>Indennità</w:t>
            </w:r>
          </w:p>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(2 mensilità di retribuzione per ogni anno di anzianità di servizio)</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4 mensilità</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24 mensilità</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Non dovuta</w:t>
            </w:r>
          </w:p>
        </w:tc>
      </w:tr>
      <w:tr w:rsidR="00EC551A" w:rsidRPr="00EE078C" w:rsidTr="00EC551A">
        <w:tc>
          <w:tcPr>
            <w:tcW w:w="1927" w:type="dxa"/>
            <w:tcMar>
              <w:left w:w="28" w:type="dxa"/>
              <w:right w:w="28" w:type="dxa"/>
            </w:tcMar>
            <w:vAlign w:val="center"/>
          </w:tcPr>
          <w:p w:rsidR="00CA0B43" w:rsidRPr="00001BBF" w:rsidRDefault="00EC551A" w:rsidP="00CA0B43">
            <w:pPr>
              <w:spacing w:line="202" w:lineRule="auto"/>
              <w:jc w:val="center"/>
              <w:rPr>
                <w:rFonts w:asciiTheme="minorHAnsi" w:hAnsiTheme="minorHAnsi" w:cstheme="minorHAnsi"/>
                <w:b/>
                <w:sz w:val="22"/>
              </w:rPr>
            </w:pPr>
            <w:r w:rsidRPr="00001BBF">
              <w:rPr>
                <w:rFonts w:asciiTheme="minorHAnsi" w:hAnsiTheme="minorHAnsi" w:cstheme="minorHAnsi"/>
                <w:b/>
                <w:sz w:val="22"/>
              </w:rPr>
              <w:t>Licenziamento</w:t>
            </w:r>
            <w:r w:rsidR="00F60B34">
              <w:rPr>
                <w:rFonts w:asciiTheme="minorHAnsi" w:hAnsiTheme="minorHAnsi" w:cstheme="minorHAnsi"/>
                <w:b/>
                <w:sz w:val="22"/>
              </w:rPr>
              <w:t xml:space="preserve"> discriminatorio, nullo,</w:t>
            </w:r>
            <w:r w:rsidRPr="00001BBF">
              <w:rPr>
                <w:rFonts w:asciiTheme="minorHAnsi" w:hAnsiTheme="minorHAnsi" w:cstheme="minorHAnsi"/>
                <w:b/>
                <w:sz w:val="22"/>
              </w:rPr>
              <w:t xml:space="preserve"> orale</w:t>
            </w:r>
            <w:r w:rsidR="00CA0B43">
              <w:rPr>
                <w:rFonts w:asciiTheme="minorHAnsi" w:hAnsiTheme="minorHAnsi" w:cstheme="minorHAnsi"/>
                <w:b/>
                <w:sz w:val="22"/>
              </w:rPr>
              <w:t xml:space="preserve">, ovvero per </w:t>
            </w:r>
            <w:r w:rsidR="00CA0B43" w:rsidRPr="00CA0B43">
              <w:rPr>
                <w:rFonts w:asciiTheme="minorHAnsi" w:hAnsiTheme="minorHAnsi" w:cstheme="minorHAnsi"/>
                <w:b/>
                <w:sz w:val="22"/>
              </w:rPr>
              <w:t xml:space="preserve">disabilità fisica o psichica del lavoratore </w:t>
            </w:r>
            <w:r w:rsidR="00CA0B43">
              <w:rPr>
                <w:rFonts w:asciiTheme="minorHAnsi" w:hAnsiTheme="minorHAnsi" w:cstheme="minorHAnsi"/>
                <w:b/>
                <w:sz w:val="22"/>
              </w:rPr>
              <w:t>in violazione degli</w:t>
            </w:r>
            <w:r w:rsidR="00CA0B43" w:rsidRPr="00CA0B43">
              <w:rPr>
                <w:rFonts w:asciiTheme="minorHAnsi" w:hAnsiTheme="minorHAnsi" w:cstheme="minorHAnsi"/>
                <w:b/>
                <w:sz w:val="22"/>
              </w:rPr>
              <w:t xml:space="preserve"> dell’art. 4, comma 4, e 10, comma 3</w:t>
            </w:r>
          </w:p>
        </w:tc>
        <w:tc>
          <w:tcPr>
            <w:tcW w:w="1928" w:type="dxa"/>
            <w:tcMar>
              <w:left w:w="28" w:type="dxa"/>
              <w:right w:w="28" w:type="dxa"/>
            </w:tcMar>
            <w:vAlign w:val="center"/>
          </w:tcPr>
          <w:p w:rsidR="00EC551A" w:rsidRPr="00904B28" w:rsidRDefault="00EC551A" w:rsidP="00D16173">
            <w:pPr>
              <w:spacing w:line="202" w:lineRule="auto"/>
              <w:jc w:val="center"/>
              <w:rPr>
                <w:rFonts w:asciiTheme="minorHAnsi" w:hAnsiTheme="minorHAnsi" w:cstheme="minorHAnsi"/>
                <w:sz w:val="22"/>
                <w:u w:val="single"/>
                <w:vertAlign w:val="superscript"/>
              </w:rPr>
            </w:pPr>
            <w:r w:rsidRPr="00EE078C">
              <w:rPr>
                <w:rFonts w:asciiTheme="minorHAnsi" w:hAnsiTheme="minorHAnsi" w:cstheme="minorHAnsi"/>
                <w:sz w:val="22"/>
                <w:u w:val="single"/>
              </w:rPr>
              <w:t>Reintegrazione</w:t>
            </w:r>
            <w:r>
              <w:rPr>
                <w:rFonts w:asciiTheme="minorHAnsi" w:hAnsiTheme="minorHAnsi" w:cstheme="minorHAnsi"/>
                <w:sz w:val="22"/>
                <w:vertAlign w:val="superscript"/>
              </w:rPr>
              <w:t>1</w:t>
            </w:r>
          </w:p>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(con indennità pari alle retribuzioni dovute dal momento del licenziamento a quello dell’effettiva reintegrazione)</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5 mensilità</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Non predeterminato</w:t>
            </w:r>
            <w:r w:rsidR="00963B17">
              <w:rPr>
                <w:rFonts w:asciiTheme="minorHAnsi" w:hAnsiTheme="minorHAnsi" w:cstheme="minorHAnsi"/>
                <w:sz w:val="22"/>
              </w:rPr>
              <w:t xml:space="preserve"> </w:t>
            </w:r>
            <w:r w:rsidR="00C21474">
              <w:rPr>
                <w:rFonts w:asciiTheme="minorHAnsi" w:hAnsiTheme="minorHAnsi" w:cstheme="minorHAnsi"/>
                <w:sz w:val="22"/>
              </w:rPr>
              <w:t>(</w:t>
            </w:r>
            <w:r w:rsidR="00963B17">
              <w:rPr>
                <w:rFonts w:asciiTheme="minorHAnsi" w:hAnsiTheme="minorHAnsi" w:cstheme="minorHAnsi"/>
                <w:sz w:val="22"/>
              </w:rPr>
              <w:t>per il periodo pregresso</w:t>
            </w:r>
            <w:r w:rsidR="00C21474">
              <w:rPr>
                <w:rFonts w:asciiTheme="minorHAnsi" w:hAnsiTheme="minorHAnsi" w:cstheme="minorHAnsi"/>
                <w:sz w:val="22"/>
              </w:rPr>
              <w:t>)</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Dovuta</w:t>
            </w:r>
            <w:r w:rsidR="00ED31F9" w:rsidRPr="00EE078C">
              <w:rPr>
                <w:rFonts w:asciiTheme="minorHAnsi" w:hAnsiTheme="minorHAnsi" w:cstheme="minorHAnsi"/>
                <w:sz w:val="22"/>
              </w:rPr>
              <w:t xml:space="preserve"> in misura piena per t</w:t>
            </w:r>
            <w:r w:rsidR="00ED31F9">
              <w:rPr>
                <w:rFonts w:asciiTheme="minorHAnsi" w:hAnsiTheme="minorHAnsi" w:cstheme="minorHAnsi"/>
                <w:sz w:val="22"/>
              </w:rPr>
              <w:t xml:space="preserve">utto il periodo intercorso dal </w:t>
            </w:r>
            <w:r w:rsidR="00ED31F9" w:rsidRPr="00EE078C">
              <w:rPr>
                <w:rFonts w:asciiTheme="minorHAnsi" w:hAnsiTheme="minorHAnsi" w:cstheme="minorHAnsi"/>
                <w:sz w:val="22"/>
              </w:rPr>
              <w:t>momento del licenziamento fino a quello dell’effettiva reintegrazione</w:t>
            </w:r>
          </w:p>
        </w:tc>
      </w:tr>
      <w:tr w:rsidR="00EC551A" w:rsidRPr="00EE078C" w:rsidTr="00EC551A">
        <w:tc>
          <w:tcPr>
            <w:tcW w:w="1927" w:type="dxa"/>
            <w:tcMar>
              <w:left w:w="28" w:type="dxa"/>
              <w:right w:w="28" w:type="dxa"/>
            </w:tcMar>
            <w:vAlign w:val="center"/>
          </w:tcPr>
          <w:p w:rsidR="00EC551A" w:rsidRPr="00001BBF" w:rsidRDefault="00EC551A" w:rsidP="00D16173">
            <w:pPr>
              <w:spacing w:line="202" w:lineRule="auto"/>
              <w:jc w:val="center"/>
              <w:rPr>
                <w:rFonts w:asciiTheme="minorHAnsi" w:hAnsiTheme="minorHAnsi" w:cstheme="minorHAnsi"/>
                <w:b/>
                <w:sz w:val="22"/>
              </w:rPr>
            </w:pPr>
            <w:r w:rsidRPr="00001BBF">
              <w:rPr>
                <w:rFonts w:asciiTheme="minorHAnsi" w:hAnsiTheme="minorHAnsi" w:cstheme="minorHAnsi"/>
                <w:b/>
                <w:sz w:val="22"/>
              </w:rPr>
              <w:t>Licenziamento disciplinare fondato sulla contestazione di un fatto materiale insussistente</w:t>
            </w:r>
          </w:p>
        </w:tc>
        <w:tc>
          <w:tcPr>
            <w:tcW w:w="1928" w:type="dxa"/>
            <w:tcMar>
              <w:left w:w="28" w:type="dxa"/>
              <w:right w:w="28" w:type="dxa"/>
            </w:tcMar>
            <w:vAlign w:val="center"/>
          </w:tcPr>
          <w:p w:rsidR="00EC551A" w:rsidRPr="00904B28" w:rsidRDefault="00EC551A" w:rsidP="00D16173">
            <w:pPr>
              <w:spacing w:line="202" w:lineRule="auto"/>
              <w:jc w:val="center"/>
              <w:rPr>
                <w:rFonts w:asciiTheme="minorHAnsi" w:hAnsiTheme="minorHAnsi" w:cstheme="minorHAnsi"/>
                <w:sz w:val="22"/>
                <w:vertAlign w:val="superscript"/>
              </w:rPr>
            </w:pPr>
            <w:r w:rsidRPr="00EE078C">
              <w:rPr>
                <w:rFonts w:asciiTheme="minorHAnsi" w:hAnsiTheme="minorHAnsi" w:cstheme="minorHAnsi"/>
                <w:sz w:val="22"/>
                <w:u w:val="single"/>
              </w:rPr>
              <w:t>Reintegrazione</w:t>
            </w:r>
            <w:r>
              <w:rPr>
                <w:rFonts w:asciiTheme="minorHAnsi" w:hAnsiTheme="minorHAnsi" w:cstheme="minorHAnsi"/>
                <w:sz w:val="22"/>
                <w:vertAlign w:val="superscript"/>
              </w:rPr>
              <w:t>1</w:t>
            </w:r>
          </w:p>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(con indennità pari alle retribuzioni dovute dal momento del licenziamento a quello dell’effettiva reintegrazione)</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Non previsto</w:t>
            </w:r>
          </w:p>
        </w:tc>
        <w:tc>
          <w:tcPr>
            <w:tcW w:w="1928" w:type="dxa"/>
            <w:tcMar>
              <w:left w:w="28" w:type="dxa"/>
              <w:right w:w="28" w:type="dxa"/>
            </w:tcMar>
            <w:vAlign w:val="center"/>
          </w:tcPr>
          <w:p w:rsidR="00EC551A"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12 mensilità</w:t>
            </w:r>
          </w:p>
          <w:p w:rsidR="00963B17" w:rsidRPr="00EE078C" w:rsidRDefault="00963B17" w:rsidP="00D16173">
            <w:pPr>
              <w:spacing w:line="202" w:lineRule="auto"/>
              <w:jc w:val="center"/>
              <w:rPr>
                <w:rFonts w:asciiTheme="minorHAnsi" w:hAnsiTheme="minorHAnsi" w:cstheme="minorHAnsi"/>
                <w:sz w:val="22"/>
              </w:rPr>
            </w:pPr>
            <w:r>
              <w:rPr>
                <w:rFonts w:asciiTheme="minorHAnsi" w:hAnsiTheme="minorHAnsi" w:cstheme="minorHAnsi"/>
                <w:sz w:val="22"/>
              </w:rPr>
              <w:t>(per il periodo pregresso)</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Dovuta in misura piena per t</w:t>
            </w:r>
            <w:r w:rsidR="00ED31F9">
              <w:rPr>
                <w:rFonts w:asciiTheme="minorHAnsi" w:hAnsiTheme="minorHAnsi" w:cstheme="minorHAnsi"/>
                <w:sz w:val="22"/>
              </w:rPr>
              <w:t xml:space="preserve">utto il periodo intercorso dal </w:t>
            </w:r>
            <w:r w:rsidRPr="00EE078C">
              <w:rPr>
                <w:rFonts w:asciiTheme="minorHAnsi" w:hAnsiTheme="minorHAnsi" w:cstheme="minorHAnsi"/>
                <w:sz w:val="22"/>
              </w:rPr>
              <w:t>momento del licenziamento fino a quello dell’effettiva reintegrazione</w:t>
            </w:r>
          </w:p>
        </w:tc>
      </w:tr>
      <w:tr w:rsidR="00EC551A" w:rsidRPr="00EE078C" w:rsidTr="00EC551A">
        <w:tc>
          <w:tcPr>
            <w:tcW w:w="1927" w:type="dxa"/>
            <w:tcMar>
              <w:left w:w="28" w:type="dxa"/>
              <w:right w:w="28" w:type="dxa"/>
            </w:tcMar>
            <w:vAlign w:val="center"/>
          </w:tcPr>
          <w:p w:rsidR="00EC551A" w:rsidRPr="00001BBF" w:rsidRDefault="00EC551A" w:rsidP="00D16173">
            <w:pPr>
              <w:spacing w:line="202" w:lineRule="auto"/>
              <w:jc w:val="center"/>
              <w:rPr>
                <w:rFonts w:asciiTheme="minorHAnsi" w:hAnsiTheme="minorHAnsi" w:cstheme="minorHAnsi"/>
                <w:b/>
                <w:sz w:val="22"/>
              </w:rPr>
            </w:pPr>
            <w:r w:rsidRPr="00001BBF">
              <w:rPr>
                <w:rFonts w:asciiTheme="minorHAnsi" w:hAnsiTheme="minorHAnsi" w:cstheme="minorHAnsi"/>
                <w:b/>
                <w:sz w:val="22"/>
              </w:rPr>
              <w:t>Vizi formali e procedurali</w:t>
            </w:r>
          </w:p>
        </w:tc>
        <w:tc>
          <w:tcPr>
            <w:tcW w:w="1928" w:type="dxa"/>
            <w:tcMar>
              <w:left w:w="28" w:type="dxa"/>
              <w:right w:w="28" w:type="dxa"/>
            </w:tcMar>
          </w:tcPr>
          <w:p w:rsidR="00EC551A" w:rsidRPr="00EE078C" w:rsidRDefault="00EC551A" w:rsidP="00D16173">
            <w:pPr>
              <w:spacing w:line="202" w:lineRule="auto"/>
              <w:jc w:val="center"/>
              <w:rPr>
                <w:rFonts w:asciiTheme="minorHAnsi" w:hAnsiTheme="minorHAnsi" w:cstheme="minorHAnsi"/>
                <w:sz w:val="22"/>
                <w:u w:val="single"/>
              </w:rPr>
            </w:pPr>
            <w:r w:rsidRPr="00EE078C">
              <w:rPr>
                <w:rFonts w:asciiTheme="minorHAnsi" w:hAnsiTheme="minorHAnsi" w:cstheme="minorHAnsi"/>
                <w:sz w:val="22"/>
                <w:u w:val="single"/>
              </w:rPr>
              <w:t>Indennità</w:t>
            </w:r>
          </w:p>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(1 mensilità di retribuzione per ogni anno di anzianità di servizio)</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2 mensilità</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12 mensilità</w:t>
            </w:r>
          </w:p>
        </w:tc>
        <w:tc>
          <w:tcPr>
            <w:tcW w:w="1928" w:type="dxa"/>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Non dovuta</w:t>
            </w:r>
          </w:p>
        </w:tc>
      </w:tr>
      <w:tr w:rsidR="00EC551A" w:rsidRPr="00EE078C" w:rsidTr="00EC551A">
        <w:trPr>
          <w:trHeight w:val="473"/>
        </w:trPr>
        <w:tc>
          <w:tcPr>
            <w:tcW w:w="1927" w:type="dxa"/>
            <w:tcBorders>
              <w:bottom w:val="nil"/>
            </w:tcBorders>
            <w:tcMar>
              <w:left w:w="28" w:type="dxa"/>
              <w:right w:w="28" w:type="dxa"/>
            </w:tcMar>
          </w:tcPr>
          <w:p w:rsidR="00EC551A" w:rsidRPr="00312BAF" w:rsidRDefault="00EC551A" w:rsidP="00D16173">
            <w:pPr>
              <w:spacing w:after="60" w:line="202" w:lineRule="auto"/>
              <w:jc w:val="center"/>
              <w:rPr>
                <w:rFonts w:asciiTheme="minorHAnsi" w:hAnsiTheme="minorHAnsi" w:cstheme="minorHAnsi"/>
                <w:b/>
                <w:sz w:val="22"/>
              </w:rPr>
            </w:pPr>
            <w:r w:rsidRPr="00001BBF">
              <w:rPr>
                <w:rFonts w:asciiTheme="minorHAnsi" w:hAnsiTheme="minorHAnsi" w:cstheme="minorHAnsi"/>
                <w:b/>
                <w:sz w:val="22"/>
              </w:rPr>
              <w:t>Licenziamento collettivo</w:t>
            </w:r>
            <w:r>
              <w:rPr>
                <w:rFonts w:asciiTheme="minorHAnsi" w:hAnsiTheme="minorHAnsi" w:cstheme="minorHAnsi"/>
                <w:b/>
                <w:sz w:val="22"/>
              </w:rPr>
              <w:t>:</w:t>
            </w:r>
          </w:p>
        </w:tc>
        <w:tc>
          <w:tcPr>
            <w:tcW w:w="1928" w:type="dxa"/>
            <w:tcBorders>
              <w:bottom w:val="nil"/>
            </w:tcBorders>
            <w:tcMar>
              <w:left w:w="28" w:type="dxa"/>
              <w:right w:w="28" w:type="dxa"/>
            </w:tcMar>
            <w:vAlign w:val="center"/>
          </w:tcPr>
          <w:p w:rsidR="00EC551A" w:rsidRPr="00EE078C" w:rsidRDefault="00EC551A" w:rsidP="00D16173">
            <w:pPr>
              <w:spacing w:line="202" w:lineRule="auto"/>
              <w:jc w:val="left"/>
              <w:rPr>
                <w:rFonts w:asciiTheme="minorHAnsi" w:hAnsiTheme="minorHAnsi" w:cstheme="minorHAnsi"/>
                <w:sz w:val="22"/>
              </w:rPr>
            </w:pPr>
          </w:p>
        </w:tc>
        <w:tc>
          <w:tcPr>
            <w:tcW w:w="1928" w:type="dxa"/>
            <w:tcBorders>
              <w:bottom w:val="nil"/>
            </w:tcBorders>
            <w:vAlign w:val="center"/>
          </w:tcPr>
          <w:p w:rsidR="00EC551A" w:rsidRPr="00EE078C" w:rsidRDefault="00EC551A" w:rsidP="00D16173">
            <w:pPr>
              <w:spacing w:line="202" w:lineRule="auto"/>
              <w:jc w:val="center"/>
              <w:rPr>
                <w:rFonts w:asciiTheme="minorHAnsi" w:hAnsiTheme="minorHAnsi" w:cstheme="minorHAnsi"/>
                <w:sz w:val="22"/>
              </w:rPr>
            </w:pPr>
          </w:p>
        </w:tc>
        <w:tc>
          <w:tcPr>
            <w:tcW w:w="1928" w:type="dxa"/>
            <w:tcBorders>
              <w:bottom w:val="nil"/>
            </w:tcBorders>
            <w:vAlign w:val="center"/>
          </w:tcPr>
          <w:p w:rsidR="00EC551A" w:rsidRPr="00EE078C" w:rsidRDefault="00EC551A" w:rsidP="00D16173">
            <w:pPr>
              <w:spacing w:line="202" w:lineRule="auto"/>
              <w:jc w:val="center"/>
              <w:rPr>
                <w:rFonts w:asciiTheme="minorHAnsi" w:hAnsiTheme="minorHAnsi" w:cstheme="minorHAnsi"/>
                <w:sz w:val="22"/>
              </w:rPr>
            </w:pPr>
          </w:p>
        </w:tc>
        <w:tc>
          <w:tcPr>
            <w:tcW w:w="1928" w:type="dxa"/>
            <w:tcBorders>
              <w:bottom w:val="nil"/>
            </w:tcBorders>
            <w:vAlign w:val="center"/>
          </w:tcPr>
          <w:p w:rsidR="00EC551A" w:rsidRPr="00EE078C" w:rsidRDefault="00EC551A" w:rsidP="00D16173">
            <w:pPr>
              <w:spacing w:line="202" w:lineRule="auto"/>
              <w:jc w:val="center"/>
              <w:rPr>
                <w:rFonts w:asciiTheme="minorHAnsi" w:hAnsiTheme="minorHAnsi" w:cstheme="minorHAnsi"/>
                <w:sz w:val="22"/>
              </w:rPr>
            </w:pPr>
          </w:p>
        </w:tc>
      </w:tr>
      <w:tr w:rsidR="00EC551A" w:rsidRPr="00EE078C" w:rsidTr="00EC551A">
        <w:trPr>
          <w:trHeight w:val="924"/>
        </w:trPr>
        <w:tc>
          <w:tcPr>
            <w:tcW w:w="1927" w:type="dxa"/>
            <w:tcBorders>
              <w:top w:val="nil"/>
              <w:bottom w:val="nil"/>
            </w:tcBorders>
            <w:tcMar>
              <w:left w:w="28" w:type="dxa"/>
              <w:right w:w="28" w:type="dxa"/>
            </w:tcMar>
          </w:tcPr>
          <w:p w:rsidR="00EC551A" w:rsidRPr="00001BBF" w:rsidRDefault="00EC551A" w:rsidP="00D16173">
            <w:pPr>
              <w:spacing w:line="202" w:lineRule="auto"/>
              <w:jc w:val="center"/>
              <w:rPr>
                <w:rFonts w:asciiTheme="minorHAnsi" w:hAnsiTheme="minorHAnsi" w:cstheme="minorHAnsi"/>
                <w:b/>
                <w:sz w:val="22"/>
              </w:rPr>
            </w:pPr>
            <w:r w:rsidRPr="00312BAF">
              <w:rPr>
                <w:rFonts w:asciiTheme="minorHAnsi" w:hAnsiTheme="minorHAnsi" w:cstheme="minorHAnsi"/>
                <w:b/>
                <w:sz w:val="22"/>
              </w:rPr>
              <w:t>a)  privo della forma scritta</w:t>
            </w:r>
          </w:p>
        </w:tc>
        <w:tc>
          <w:tcPr>
            <w:tcW w:w="1928" w:type="dxa"/>
            <w:tcBorders>
              <w:top w:val="nil"/>
              <w:bottom w:val="nil"/>
            </w:tcBorders>
            <w:tcMar>
              <w:left w:w="28" w:type="dxa"/>
              <w:right w:w="28" w:type="dxa"/>
            </w:tcMar>
            <w:vAlign w:val="center"/>
          </w:tcPr>
          <w:p w:rsidR="00EC551A" w:rsidRPr="00904B28" w:rsidRDefault="00EC551A" w:rsidP="00D16173">
            <w:pPr>
              <w:spacing w:line="202" w:lineRule="auto"/>
              <w:jc w:val="center"/>
              <w:rPr>
                <w:rFonts w:asciiTheme="minorHAnsi" w:hAnsiTheme="minorHAnsi" w:cstheme="minorHAnsi"/>
                <w:sz w:val="22"/>
                <w:u w:val="single"/>
                <w:vertAlign w:val="superscript"/>
              </w:rPr>
            </w:pPr>
            <w:r w:rsidRPr="00EE078C">
              <w:rPr>
                <w:rFonts w:asciiTheme="minorHAnsi" w:hAnsiTheme="minorHAnsi" w:cstheme="minorHAnsi"/>
                <w:sz w:val="22"/>
                <w:u w:val="single"/>
              </w:rPr>
              <w:t>Reintegrazione</w:t>
            </w:r>
          </w:p>
          <w:p w:rsidR="00EC551A"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(con indennità pari alle retribuzioni dovute dal momento del licenziamento a quello dell’effettiva reintegrazione</w:t>
            </w:r>
          </w:p>
          <w:p w:rsidR="00EC551A" w:rsidRPr="00EE078C" w:rsidRDefault="00EC551A" w:rsidP="00D16173">
            <w:pPr>
              <w:spacing w:line="202" w:lineRule="auto"/>
              <w:jc w:val="center"/>
              <w:rPr>
                <w:rFonts w:asciiTheme="minorHAnsi" w:hAnsiTheme="minorHAnsi" w:cstheme="minorHAnsi"/>
                <w:sz w:val="22"/>
                <w:u w:val="single"/>
              </w:rPr>
            </w:pPr>
          </w:p>
        </w:tc>
        <w:tc>
          <w:tcPr>
            <w:tcW w:w="1928" w:type="dxa"/>
            <w:tcBorders>
              <w:top w:val="nil"/>
              <w:bottom w:val="nil"/>
            </w:tcBorders>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5 mensilità</w:t>
            </w:r>
          </w:p>
        </w:tc>
        <w:tc>
          <w:tcPr>
            <w:tcW w:w="1928" w:type="dxa"/>
            <w:tcBorders>
              <w:top w:val="nil"/>
              <w:bottom w:val="nil"/>
            </w:tcBorders>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Non predeterminato</w:t>
            </w:r>
          </w:p>
        </w:tc>
        <w:tc>
          <w:tcPr>
            <w:tcW w:w="1928" w:type="dxa"/>
            <w:tcBorders>
              <w:top w:val="nil"/>
              <w:bottom w:val="nil"/>
            </w:tcBorders>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Dovuta</w:t>
            </w:r>
            <w:r w:rsidR="00ED31F9" w:rsidRPr="00EE078C">
              <w:rPr>
                <w:rFonts w:asciiTheme="minorHAnsi" w:hAnsiTheme="minorHAnsi" w:cstheme="minorHAnsi"/>
                <w:sz w:val="22"/>
              </w:rPr>
              <w:t xml:space="preserve"> in misura piena per t</w:t>
            </w:r>
            <w:r w:rsidR="00ED31F9">
              <w:rPr>
                <w:rFonts w:asciiTheme="minorHAnsi" w:hAnsiTheme="minorHAnsi" w:cstheme="minorHAnsi"/>
                <w:sz w:val="22"/>
              </w:rPr>
              <w:t xml:space="preserve">utto il periodo intercorso dal </w:t>
            </w:r>
            <w:r w:rsidR="00921338">
              <w:rPr>
                <w:rFonts w:asciiTheme="minorHAnsi" w:hAnsiTheme="minorHAnsi" w:cstheme="minorHAnsi"/>
                <w:sz w:val="22"/>
              </w:rPr>
              <w:t xml:space="preserve">momento del licenziamento </w:t>
            </w:r>
            <w:proofErr w:type="spellStart"/>
            <w:r w:rsidR="00921338">
              <w:rPr>
                <w:rFonts w:asciiTheme="minorHAnsi" w:hAnsiTheme="minorHAnsi" w:cstheme="minorHAnsi"/>
                <w:sz w:val="22"/>
              </w:rPr>
              <w:t>fino</w:t>
            </w:r>
            <w:r w:rsidR="00ED31F9" w:rsidRPr="00EE078C">
              <w:rPr>
                <w:rFonts w:asciiTheme="minorHAnsi" w:hAnsiTheme="minorHAnsi" w:cstheme="minorHAnsi"/>
                <w:sz w:val="22"/>
              </w:rPr>
              <w:t>a</w:t>
            </w:r>
            <w:proofErr w:type="spellEnd"/>
            <w:r w:rsidR="00ED31F9" w:rsidRPr="00EE078C">
              <w:rPr>
                <w:rFonts w:asciiTheme="minorHAnsi" w:hAnsiTheme="minorHAnsi" w:cstheme="minorHAnsi"/>
                <w:sz w:val="22"/>
              </w:rPr>
              <w:t xml:space="preserve"> quello dell’effettiva reintegrazione</w:t>
            </w:r>
          </w:p>
        </w:tc>
      </w:tr>
      <w:tr w:rsidR="00EC551A" w:rsidRPr="00EE078C" w:rsidTr="00EC551A">
        <w:tc>
          <w:tcPr>
            <w:tcW w:w="1927" w:type="dxa"/>
            <w:tcBorders>
              <w:top w:val="nil"/>
              <w:bottom w:val="single" w:sz="4" w:space="0" w:color="auto"/>
            </w:tcBorders>
            <w:tcMar>
              <w:left w:w="28" w:type="dxa"/>
              <w:right w:w="28" w:type="dxa"/>
            </w:tcMar>
            <w:vAlign w:val="center"/>
          </w:tcPr>
          <w:p w:rsidR="00EC551A" w:rsidRPr="00001BBF" w:rsidRDefault="00EC551A" w:rsidP="00D16173">
            <w:pPr>
              <w:spacing w:line="202" w:lineRule="auto"/>
              <w:jc w:val="center"/>
              <w:rPr>
                <w:rFonts w:asciiTheme="minorHAnsi" w:hAnsiTheme="minorHAnsi" w:cstheme="minorHAnsi"/>
                <w:b/>
                <w:sz w:val="22"/>
              </w:rPr>
            </w:pPr>
            <w:r>
              <w:rPr>
                <w:rFonts w:asciiTheme="minorHAnsi" w:hAnsiTheme="minorHAnsi" w:cstheme="minorHAnsi"/>
                <w:b/>
                <w:sz w:val="22"/>
              </w:rPr>
              <w:t xml:space="preserve">b) </w:t>
            </w:r>
            <w:r w:rsidRPr="00001BBF">
              <w:rPr>
                <w:rFonts w:asciiTheme="minorHAnsi" w:hAnsiTheme="minorHAnsi" w:cstheme="minorHAnsi"/>
                <w:b/>
                <w:sz w:val="22"/>
              </w:rPr>
              <w:t>illegittimo per violazione della procedura e/o dei criteri di scelta</w:t>
            </w:r>
          </w:p>
        </w:tc>
        <w:tc>
          <w:tcPr>
            <w:tcW w:w="1928" w:type="dxa"/>
            <w:tcBorders>
              <w:top w:val="nil"/>
              <w:bottom w:val="single" w:sz="4" w:space="0" w:color="auto"/>
            </w:tcBorders>
            <w:tcMar>
              <w:left w:w="28" w:type="dxa"/>
              <w:right w:w="28" w:type="dxa"/>
            </w:tcMar>
          </w:tcPr>
          <w:p w:rsidR="00EC551A" w:rsidRPr="00EE078C" w:rsidRDefault="00EC551A" w:rsidP="00D16173">
            <w:pPr>
              <w:spacing w:line="202" w:lineRule="auto"/>
              <w:jc w:val="center"/>
              <w:rPr>
                <w:rFonts w:asciiTheme="minorHAnsi" w:hAnsiTheme="minorHAnsi" w:cstheme="minorHAnsi"/>
                <w:sz w:val="22"/>
                <w:u w:val="single"/>
              </w:rPr>
            </w:pPr>
            <w:r w:rsidRPr="00EE078C">
              <w:rPr>
                <w:rFonts w:asciiTheme="minorHAnsi" w:hAnsiTheme="minorHAnsi" w:cstheme="minorHAnsi"/>
                <w:sz w:val="22"/>
                <w:u w:val="single"/>
              </w:rPr>
              <w:t>Indennità</w:t>
            </w:r>
          </w:p>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(2 mensilità di retribuzione per ogni anno di anzianità di servizio)</w:t>
            </w:r>
          </w:p>
        </w:tc>
        <w:tc>
          <w:tcPr>
            <w:tcW w:w="1928" w:type="dxa"/>
            <w:tcBorders>
              <w:top w:val="nil"/>
              <w:bottom w:val="single" w:sz="4" w:space="0" w:color="auto"/>
            </w:tcBorders>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4 mensilità</w:t>
            </w:r>
          </w:p>
        </w:tc>
        <w:tc>
          <w:tcPr>
            <w:tcW w:w="1928" w:type="dxa"/>
            <w:tcBorders>
              <w:top w:val="nil"/>
              <w:bottom w:val="single" w:sz="4" w:space="0" w:color="auto"/>
            </w:tcBorders>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24 mensilità</w:t>
            </w:r>
          </w:p>
        </w:tc>
        <w:tc>
          <w:tcPr>
            <w:tcW w:w="1928" w:type="dxa"/>
            <w:tcBorders>
              <w:top w:val="nil"/>
              <w:bottom w:val="single" w:sz="4" w:space="0" w:color="auto"/>
            </w:tcBorders>
            <w:tcMar>
              <w:left w:w="28" w:type="dxa"/>
              <w:right w:w="28" w:type="dxa"/>
            </w:tcMar>
            <w:vAlign w:val="center"/>
          </w:tcPr>
          <w:p w:rsidR="00EC551A" w:rsidRPr="00EE078C" w:rsidRDefault="00EC551A" w:rsidP="00D16173">
            <w:pPr>
              <w:spacing w:line="202" w:lineRule="auto"/>
              <w:jc w:val="center"/>
              <w:rPr>
                <w:rFonts w:asciiTheme="minorHAnsi" w:hAnsiTheme="minorHAnsi" w:cstheme="minorHAnsi"/>
                <w:sz w:val="22"/>
              </w:rPr>
            </w:pPr>
            <w:r w:rsidRPr="00EE078C">
              <w:rPr>
                <w:rFonts w:asciiTheme="minorHAnsi" w:hAnsiTheme="minorHAnsi" w:cstheme="minorHAnsi"/>
                <w:sz w:val="22"/>
              </w:rPr>
              <w:t>Non dovuta</w:t>
            </w:r>
          </w:p>
        </w:tc>
      </w:tr>
      <w:tr w:rsidR="00EC551A" w:rsidRPr="00EE078C" w:rsidTr="00EC551A">
        <w:tc>
          <w:tcPr>
            <w:tcW w:w="9639" w:type="dxa"/>
            <w:gridSpan w:val="5"/>
            <w:tcBorders>
              <w:top w:val="single" w:sz="4" w:space="0" w:color="auto"/>
            </w:tcBorders>
            <w:tcMar>
              <w:left w:w="28" w:type="dxa"/>
              <w:right w:w="28" w:type="dxa"/>
            </w:tcMar>
            <w:vAlign w:val="center"/>
          </w:tcPr>
          <w:p w:rsidR="00EC551A" w:rsidRPr="00904B28" w:rsidRDefault="00EC551A" w:rsidP="00D16173">
            <w:pPr>
              <w:pStyle w:val="Testonotaapidipagina"/>
              <w:spacing w:after="60" w:line="192" w:lineRule="auto"/>
              <w:rPr>
                <w:rFonts w:asciiTheme="minorHAnsi" w:hAnsiTheme="minorHAnsi" w:cstheme="minorHAnsi"/>
              </w:rPr>
            </w:pPr>
            <w:r w:rsidRPr="00904B28">
              <w:rPr>
                <w:rFonts w:asciiTheme="minorHAnsi" w:hAnsiTheme="minorHAnsi" w:cstheme="minorHAnsi"/>
              </w:rPr>
              <w:t>1)</w:t>
            </w:r>
            <w:r>
              <w:rPr>
                <w:rFonts w:asciiTheme="minorHAnsi" w:hAnsiTheme="minorHAnsi" w:cstheme="minorHAnsi"/>
              </w:rPr>
              <w:t xml:space="preserve"> </w:t>
            </w:r>
            <w:r w:rsidRPr="00001BBF">
              <w:rPr>
                <w:rFonts w:asciiTheme="minorHAnsi" w:hAnsiTheme="minorHAnsi" w:cstheme="minorHAnsi"/>
              </w:rPr>
              <w:t>In sostituzione della reintegrazione il lavoratore può chiedere il pagamento di un’indennità pari a 15 mensilità di retribuzione non assoggettata a contribuzione. Quest’ultima indennità si aggiunge a quella dovuta per il periodo compreso tra il momento del licenziamento a quello dell’effettiva reintegrazione.</w:t>
            </w:r>
          </w:p>
        </w:tc>
      </w:tr>
    </w:tbl>
    <w:p w:rsidR="00EC551A" w:rsidRDefault="00EC551A" w:rsidP="004B516E">
      <w:pPr>
        <w:contextualSpacing/>
      </w:pPr>
    </w:p>
    <w:p w:rsidR="00EC551A" w:rsidRDefault="00EC551A" w:rsidP="004B516E">
      <w:pPr>
        <w:contextualSpacing/>
      </w:pPr>
    </w:p>
    <w:p w:rsidR="000E494E" w:rsidRDefault="000E494E" w:rsidP="004B516E">
      <w:pPr>
        <w:contextualSpacing/>
      </w:pPr>
    </w:p>
    <w:p w:rsidR="000E494E" w:rsidRDefault="000E494E" w:rsidP="004B516E">
      <w:pPr>
        <w:contextualSpacing/>
      </w:pPr>
    </w:p>
    <w:p w:rsidR="000E494E" w:rsidRDefault="000E494E" w:rsidP="004B516E">
      <w:pPr>
        <w:contextualSpacing/>
      </w:pPr>
    </w:p>
    <w:p w:rsidR="00EC551A" w:rsidRDefault="00EC551A" w:rsidP="00EC551A">
      <w:pPr>
        <w:pStyle w:val="Titolo2"/>
        <w:jc w:val="center"/>
      </w:pPr>
      <w:bookmarkStart w:id="3" w:name="_Toc413232544"/>
      <w:r w:rsidRPr="00EC551A">
        <w:t>Licenziamento discriminatorio, nullo o orale</w:t>
      </w:r>
      <w:r w:rsidR="00DD39EB">
        <w:t xml:space="preserve"> (art. 2).</w:t>
      </w:r>
      <w:bookmarkEnd w:id="3"/>
    </w:p>
    <w:p w:rsidR="00EC551A" w:rsidRDefault="00EC551A" w:rsidP="00EC551A">
      <w:pPr>
        <w:pStyle w:val="Titolo2"/>
        <w:numPr>
          <w:ilvl w:val="0"/>
          <w:numId w:val="0"/>
        </w:numPr>
        <w:ind w:left="426" w:hanging="426"/>
        <w:jc w:val="center"/>
      </w:pPr>
    </w:p>
    <w:p w:rsidR="00EC551A" w:rsidRDefault="00515779" w:rsidP="008758C5">
      <w:pPr>
        <w:contextualSpacing/>
      </w:pPr>
      <w:r>
        <w:t xml:space="preserve">L’art. 2 del Decreto Legislativo n. </w:t>
      </w:r>
      <w:r w:rsidR="00250734">
        <w:t xml:space="preserve">23/2015 </w:t>
      </w:r>
      <w:r>
        <w:t>prevede le conseguenze sanzionatorie del licenziamento discriminatorio, nullo o orale</w:t>
      </w:r>
      <w:r w:rsidR="00167F08">
        <w:t xml:space="preserve">, la cui </w:t>
      </w:r>
      <w:r>
        <w:t>disciplina può essere a</w:t>
      </w:r>
      <w:r w:rsidR="00167F08">
        <w:t>ssimilata</w:t>
      </w:r>
      <w:r>
        <w:t xml:space="preserve"> a quella prevista dai primi tre commi dell’art. 18 della Legge n. 300/1970.</w:t>
      </w:r>
    </w:p>
    <w:p w:rsidR="00515779" w:rsidRPr="008F0CD4" w:rsidRDefault="002634E7" w:rsidP="00441D69">
      <w:r w:rsidRPr="008F0CD4">
        <w:t>Confrontando le due disposizioni è</w:t>
      </w:r>
      <w:r w:rsidR="000E494E">
        <w:t>,</w:t>
      </w:r>
      <w:r w:rsidRPr="008F0CD4">
        <w:t xml:space="preserve"> però</w:t>
      </w:r>
      <w:r w:rsidR="000E494E">
        <w:t>,</w:t>
      </w:r>
      <w:r w:rsidRPr="008F0CD4">
        <w:t xml:space="preserve"> possibile rilevare delle differenze nella formulazione.</w:t>
      </w:r>
      <w:r w:rsidR="008758C5" w:rsidRPr="008F0CD4">
        <w:t xml:space="preserve"> È, per</w:t>
      </w:r>
      <w:r w:rsidR="009E1680" w:rsidRPr="008F0CD4">
        <w:t>tanto, opportuno approfondire l’ambito di applicazione del regime sanzionatorio previsto dall’art. 2 de</w:t>
      </w:r>
      <w:r w:rsidR="008758C5" w:rsidRPr="008F0CD4">
        <w:t xml:space="preserve">l D. </w:t>
      </w:r>
      <w:proofErr w:type="spellStart"/>
      <w:r w:rsidR="008758C5" w:rsidRPr="008F0CD4">
        <w:t>Lgs</w:t>
      </w:r>
      <w:proofErr w:type="spellEnd"/>
      <w:r w:rsidR="008758C5" w:rsidRPr="008F0CD4">
        <w:t xml:space="preserve">. n. </w:t>
      </w:r>
      <w:r w:rsidR="00250734" w:rsidRPr="008F0CD4">
        <w:t>23/2015.</w:t>
      </w:r>
    </w:p>
    <w:p w:rsidR="00291218" w:rsidRDefault="00291218" w:rsidP="00C24F51">
      <w:pPr>
        <w:contextualSpacing/>
      </w:pPr>
      <w:r>
        <w:t>Per quanto riguarda il licenziamento discriminatorio è stato sostituito i</w:t>
      </w:r>
      <w:r w:rsidR="000E494E">
        <w:t>l riferimento all’art. 3 della L</w:t>
      </w:r>
      <w:r>
        <w:t>egge n. 108/1990 con il più diretto riferimento all’art. 15 della Legge n. 300/1970 cui la prima norma rinvia. Peraltro, il superamento del richiamo all’art. 4 della Legge n. 604/1966 non altera il contenuto precettivo della norma dal momento</w:t>
      </w:r>
      <w:r w:rsidR="00C24F51">
        <w:t xml:space="preserve"> che le ipotesi di discriminazione contemplate da quest’ultima disposizione risultano ricomprese in quelle previste dall’art. 15 della Legge n. 300/1970.</w:t>
      </w:r>
    </w:p>
    <w:p w:rsidR="008B0C6D" w:rsidRPr="005F5198" w:rsidRDefault="00C24F51" w:rsidP="00441D69">
      <w:r>
        <w:t xml:space="preserve">In definitiva non si rivengono differenze nel novero delle ipotesi di discriminazione previste dal D. </w:t>
      </w:r>
      <w:proofErr w:type="spellStart"/>
      <w:r>
        <w:t>Lgs</w:t>
      </w:r>
      <w:proofErr w:type="spellEnd"/>
      <w:r>
        <w:t xml:space="preserve">. n. </w:t>
      </w:r>
      <w:r w:rsidR="00250734">
        <w:t>23/2015.</w:t>
      </w:r>
      <w:r w:rsidR="00A93DA6">
        <w:t xml:space="preserve"> Si ricorda</w:t>
      </w:r>
      <w:r w:rsidR="000E494E">
        <w:t>,</w:t>
      </w:r>
      <w:r w:rsidR="00A93DA6">
        <w:t xml:space="preserve"> peraltro</w:t>
      </w:r>
      <w:r w:rsidR="000E494E">
        <w:t>,</w:t>
      </w:r>
      <w:r w:rsidR="00A93DA6">
        <w:t xml:space="preserve"> che</w:t>
      </w:r>
      <w:r w:rsidR="00DA0AC7">
        <w:t xml:space="preserve"> s</w:t>
      </w:r>
      <w:r w:rsidR="00A93DA6">
        <w:t>e</w:t>
      </w:r>
      <w:r w:rsidR="00DA0AC7">
        <w:t>condo la migliore</w:t>
      </w:r>
      <w:r w:rsidR="00A93DA6">
        <w:t xml:space="preserve"> dottrina</w:t>
      </w:r>
      <w:r w:rsidR="000E494E">
        <w:t>,</w:t>
      </w:r>
      <w:r w:rsidR="00A93DA6">
        <w:t xml:space="preserve"> e </w:t>
      </w:r>
      <w:r w:rsidR="005F5198">
        <w:t xml:space="preserve">come affermato espressamente </w:t>
      </w:r>
      <w:r w:rsidR="00A93DA6">
        <w:t>dalla giurisprudenza</w:t>
      </w:r>
      <w:r w:rsidR="00DA0AC7">
        <w:t xml:space="preserve"> dell’Unione Europea</w:t>
      </w:r>
      <w:r w:rsidR="005F5198">
        <w:t>, l’elencazione normativa delle ipotesi di discriminazione</w:t>
      </w:r>
      <w:r w:rsidR="00A93DA6">
        <w:t xml:space="preserve"> </w:t>
      </w:r>
      <w:r w:rsidR="001A2C32">
        <w:t>ha carattere tassativo</w:t>
      </w:r>
      <w:r w:rsidR="001D001D">
        <w:t xml:space="preserve"> – anche a ragione del fatto che si tratta di ipotesi di nullità –</w:t>
      </w:r>
      <w:r w:rsidR="001A2C32">
        <w:t xml:space="preserve"> e</w:t>
      </w:r>
      <w:r w:rsidR="001D001D">
        <w:t>,</w:t>
      </w:r>
      <w:r w:rsidR="001A2C32">
        <w:t xml:space="preserve"> pertanto, non è suscettibile di integrazioni neanche in via analogica (</w:t>
      </w:r>
      <w:r w:rsidR="005F5198">
        <w:t xml:space="preserve">cfr. </w:t>
      </w:r>
      <w:r w:rsidR="008B0C6D">
        <w:t xml:space="preserve">Corte </w:t>
      </w:r>
      <w:proofErr w:type="spellStart"/>
      <w:r w:rsidR="008B0C6D">
        <w:t>giust</w:t>
      </w:r>
      <w:proofErr w:type="spellEnd"/>
      <w:r w:rsidR="008B0C6D">
        <w:t xml:space="preserve">. </w:t>
      </w:r>
      <w:r w:rsidR="008B0C6D" w:rsidRPr="008B0C6D">
        <w:t>18 dicembre 2014</w:t>
      </w:r>
      <w:r w:rsidR="008B0C6D">
        <w:t>, causa C-</w:t>
      </w:r>
      <w:r w:rsidR="008B0C6D" w:rsidRPr="008B0C6D">
        <w:t>354/13</w:t>
      </w:r>
      <w:r w:rsidR="008B0C6D">
        <w:t xml:space="preserve">, </w:t>
      </w:r>
      <w:r w:rsidR="005F5198" w:rsidRPr="005F5198">
        <w:rPr>
          <w:bCs/>
          <w:i/>
        </w:rPr>
        <w:t>FOA</w:t>
      </w:r>
      <w:r w:rsidR="008B0C6D">
        <w:rPr>
          <w:bCs/>
        </w:rPr>
        <w:t>, par. 36</w:t>
      </w:r>
      <w:r w:rsidR="008B0C6D" w:rsidRPr="008B0C6D">
        <w:rPr>
          <w:bCs/>
        </w:rPr>
        <w:t>).</w:t>
      </w:r>
    </w:p>
    <w:p w:rsidR="00390E9C" w:rsidRDefault="00E017A8" w:rsidP="00441D69">
      <w:r>
        <w:t>Anche p</w:t>
      </w:r>
      <w:r w:rsidR="00C24F51">
        <w:t>er</w:t>
      </w:r>
      <w:r>
        <w:t xml:space="preserve"> quanto riguarda le ipotesi di nullità la formulazione normativa risulta diversa. </w:t>
      </w:r>
      <w:r w:rsidR="00390E9C">
        <w:t xml:space="preserve">La nuova norma in maniera più </w:t>
      </w:r>
      <w:r w:rsidR="001D001D">
        <w:t>sintetica fa riferimento “</w:t>
      </w:r>
      <w:r w:rsidR="001D001D">
        <w:rPr>
          <w:i/>
        </w:rPr>
        <w:t>agli altri casi di nullità espressamente previsti dalla legge</w:t>
      </w:r>
      <w:r w:rsidR="001D001D">
        <w:t>”.</w:t>
      </w:r>
    </w:p>
    <w:p w:rsidR="001D001D" w:rsidRDefault="001D001D" w:rsidP="00441D69">
      <w:r>
        <w:t>La nuova formulazione ricomprende sicuramente i casi di nullità precedentemente  elencati dall’art. 18, comma 1:</w:t>
      </w:r>
    </w:p>
    <w:p w:rsidR="001D001D" w:rsidRDefault="001D001D" w:rsidP="003815C5">
      <w:pPr>
        <w:pStyle w:val="Paragrafoelenco"/>
        <w:numPr>
          <w:ilvl w:val="0"/>
          <w:numId w:val="8"/>
        </w:numPr>
        <w:spacing w:after="120"/>
        <w:ind w:left="284" w:hanging="284"/>
        <w:contextualSpacing w:val="0"/>
      </w:pPr>
      <w:r>
        <w:t xml:space="preserve">licenziamento in concomitanza di matrimonio </w:t>
      </w:r>
      <w:r w:rsidR="00AD7049">
        <w:t>in violazione del</w:t>
      </w:r>
      <w:r>
        <w:t xml:space="preserve">l’art. </w:t>
      </w:r>
      <w:r w:rsidR="00A34A63">
        <w:t xml:space="preserve">35 del D. </w:t>
      </w:r>
      <w:proofErr w:type="spellStart"/>
      <w:r w:rsidR="00A34A63">
        <w:t>Lgs</w:t>
      </w:r>
      <w:proofErr w:type="spellEnd"/>
      <w:r w:rsidR="00A34A63">
        <w:t>. n. 198/2006;</w:t>
      </w:r>
    </w:p>
    <w:p w:rsidR="00A34A63" w:rsidRDefault="00AD7049" w:rsidP="001D001D">
      <w:pPr>
        <w:pStyle w:val="Paragrafoelenco"/>
        <w:numPr>
          <w:ilvl w:val="0"/>
          <w:numId w:val="8"/>
        </w:numPr>
        <w:ind w:left="284" w:hanging="284"/>
      </w:pPr>
      <w:r>
        <w:t xml:space="preserve">licenziamento in occasione della gravidanza in violazione dell’art. 54 del D. </w:t>
      </w:r>
      <w:proofErr w:type="spellStart"/>
      <w:r>
        <w:t>Lgs</w:t>
      </w:r>
      <w:proofErr w:type="spellEnd"/>
      <w:r>
        <w:t>. n. 151/2001.</w:t>
      </w:r>
    </w:p>
    <w:p w:rsidR="00AD7049" w:rsidRDefault="00AD7049" w:rsidP="00AD7049">
      <w:r>
        <w:t>In tali casi la nullità è, infatti, effettivamente espressamente prevista dalla normativa citata.</w:t>
      </w:r>
    </w:p>
    <w:p w:rsidR="00AD7049" w:rsidRDefault="00F91074" w:rsidP="00F91074">
      <w:pPr>
        <w:contextualSpacing/>
      </w:pPr>
      <w:r>
        <w:t>L’attenzione dei primi commentatori si è poi concentrata sul mancato richiamo dell’art. 1345 c.c.</w:t>
      </w:r>
    </w:p>
    <w:p w:rsidR="004007D1" w:rsidRDefault="00F91074" w:rsidP="004007D1">
      <w:pPr>
        <w:contextualSpacing/>
      </w:pPr>
      <w:r>
        <w:t>Tuttavia, si ritiene che l’ipotesi del licenziamento intimato per motivo illecito determinante sia ricompresa tra le ipotesi di nullità espressamente previste dalla legge. Infatti, sebbene l’art. 1345 c.c. non preveda espressamente la sanzione della nullità, quest’ultima è</w:t>
      </w:r>
      <w:r w:rsidR="004007D1">
        <w:t>, invece, espressamente contemplata</w:t>
      </w:r>
      <w:r>
        <w:t xml:space="preserve"> </w:t>
      </w:r>
      <w:r w:rsidR="004007D1">
        <w:t xml:space="preserve">dal comma 2, </w:t>
      </w:r>
      <w:r>
        <w:t>dell’art. 1418 c.c.</w:t>
      </w:r>
    </w:p>
    <w:p w:rsidR="00F91074" w:rsidRDefault="004007D1" w:rsidP="00562A83">
      <w:pPr>
        <w:contextualSpacing/>
      </w:pPr>
      <w:r>
        <w:t>Conseguentemente risulta ragionevole ritenere che anche il licenziamento intimato per motivo illecito determinante</w:t>
      </w:r>
      <w:r w:rsidR="00C21474">
        <w:t>,</w:t>
      </w:r>
      <w:r>
        <w:t xml:space="preserve"> ai sensi dell’art. 1345 </w:t>
      </w:r>
      <w:r w:rsidR="002957A5">
        <w:t>c.c.</w:t>
      </w:r>
      <w:r w:rsidR="00C21474">
        <w:t>,</w:t>
      </w:r>
      <w:r w:rsidR="002957A5">
        <w:t xml:space="preserve"> </w:t>
      </w:r>
      <w:r>
        <w:t xml:space="preserve">rientri nel novero dei </w:t>
      </w:r>
      <w:r>
        <w:rPr>
          <w:i/>
        </w:rPr>
        <w:t xml:space="preserve">“casi di nullità </w:t>
      </w:r>
      <w:r>
        <w:rPr>
          <w:i/>
        </w:rPr>
        <w:lastRenderedPageBreak/>
        <w:t>espressamente previsti dalla legge</w:t>
      </w:r>
      <w:r>
        <w:t xml:space="preserve">” con conseguente applicazione della sanzione della reintegrazione prevista dall’art. 2 del D. </w:t>
      </w:r>
      <w:proofErr w:type="spellStart"/>
      <w:r>
        <w:t>Lgs</w:t>
      </w:r>
      <w:proofErr w:type="spellEnd"/>
      <w:r>
        <w:t xml:space="preserve">. n. </w:t>
      </w:r>
      <w:r w:rsidR="005B79CD">
        <w:t>23/2015</w:t>
      </w:r>
      <w:r>
        <w:t>.</w:t>
      </w:r>
    </w:p>
    <w:p w:rsidR="00F91074" w:rsidRDefault="00562A83" w:rsidP="00BC51B9">
      <w:r>
        <w:t xml:space="preserve">Si ricorda comunque che la giurisprudenza ha </w:t>
      </w:r>
      <w:r w:rsidR="002957A5">
        <w:t xml:space="preserve">riconosciuto la sussistenza dei requisiti previsti dall’art. 1345 c.c. </w:t>
      </w:r>
      <w:r w:rsidR="00BC51B9">
        <w:t xml:space="preserve">in ipotesi di licenziamento limitate </w:t>
      </w:r>
      <w:r w:rsidR="002957A5">
        <w:t>e ben circoscritt</w:t>
      </w:r>
      <w:r w:rsidR="00BC51B9">
        <w:t>e</w:t>
      </w:r>
      <w:r w:rsidR="005E33A8">
        <w:t>, in larga parte riconducibili al licenziamento cd. ritorsivo o per rappresaglia (cfr. Cass. n. 17087/2011)</w:t>
      </w:r>
      <w:r w:rsidR="00BC51B9">
        <w:t>.</w:t>
      </w:r>
    </w:p>
    <w:p w:rsidR="00805CA3" w:rsidRDefault="00805CA3" w:rsidP="00AD7049">
      <w:r>
        <w:t xml:space="preserve">Il regime sanzionatorio di cui all’art. 2 del D. </w:t>
      </w:r>
      <w:proofErr w:type="spellStart"/>
      <w:r>
        <w:t>Lgs</w:t>
      </w:r>
      <w:proofErr w:type="spellEnd"/>
      <w:r>
        <w:t xml:space="preserve">. n. </w:t>
      </w:r>
      <w:r w:rsidR="005B79CD">
        <w:t>23/2015</w:t>
      </w:r>
      <w:r>
        <w:t xml:space="preserve"> resta applicabile per il licenziamento intimato in forma orale.</w:t>
      </w:r>
    </w:p>
    <w:p w:rsidR="00A901F7" w:rsidRDefault="00530471" w:rsidP="00A901F7">
      <w:pPr>
        <w:contextualSpacing/>
      </w:pPr>
      <w:r>
        <w:t xml:space="preserve">Infine, la versione definitiva del D. </w:t>
      </w:r>
      <w:proofErr w:type="spellStart"/>
      <w:r>
        <w:t>Lgs</w:t>
      </w:r>
      <w:proofErr w:type="spellEnd"/>
      <w:r>
        <w:t xml:space="preserve">. n. </w:t>
      </w:r>
      <w:r w:rsidR="005B79CD">
        <w:t xml:space="preserve">23/2015 </w:t>
      </w:r>
      <w:r>
        <w:t xml:space="preserve">include tra le ipotesi di licenziamento illegittimo per le quali trova applicazione </w:t>
      </w:r>
      <w:r w:rsidR="00CA12D0">
        <w:t xml:space="preserve">il regime di cui all’art. 2, il licenziamento viziato da difetto di giustificazione per motivo consistente nella disabilità fisica o psichica del </w:t>
      </w:r>
      <w:r w:rsidR="00A55CEE">
        <w:t xml:space="preserve">lavoratore ai sensi dell’art. 4, comma 4, e </w:t>
      </w:r>
      <w:r w:rsidR="00705AC3">
        <w:t>10, comma 3.</w:t>
      </w:r>
    </w:p>
    <w:p w:rsidR="0063766A" w:rsidRDefault="0063766A" w:rsidP="00A901F7">
      <w:pPr>
        <w:contextualSpacing/>
      </w:pPr>
    </w:p>
    <w:p w:rsidR="00480762" w:rsidRDefault="00992A33" w:rsidP="00AD7049">
      <w:r>
        <w:t>Viene così modificato il regime di tutela rispetto all’art. 18 della Legge n. 300/1970 che, invece, in tale ipotesi prevede la sanzione della reintegrazione ma con riconoscimento di un’indennità risarcitoria non superiore a 12 mensilità.</w:t>
      </w:r>
    </w:p>
    <w:p w:rsidR="00023EA6" w:rsidRDefault="00480762" w:rsidP="00AD7049">
      <w:r>
        <w:t xml:space="preserve">Merita, invece, di essere evidenziato come il D. </w:t>
      </w:r>
      <w:proofErr w:type="spellStart"/>
      <w:r>
        <w:t>Lgs</w:t>
      </w:r>
      <w:proofErr w:type="spellEnd"/>
      <w:r>
        <w:t>. n.</w:t>
      </w:r>
      <w:r w:rsidR="00625FC0" w:rsidRPr="00625FC0">
        <w:t xml:space="preserve"> </w:t>
      </w:r>
      <w:r w:rsidR="00625FC0">
        <w:t>23/2015</w:t>
      </w:r>
      <w:r>
        <w:t xml:space="preserve"> </w:t>
      </w:r>
      <w:r w:rsidR="008451DF">
        <w:t>non prevede, a differenza dell’art. 18 della Legge n. 300/1970, una disciplina specifica per i</w:t>
      </w:r>
      <w:r>
        <w:t>l licenziamento intimato in violazione dell’art. 2110, comma 2, c.c.</w:t>
      </w:r>
      <w:r w:rsidR="008451DF">
        <w:t xml:space="preserve"> (cd. licenziamento per superamento del periodo di comporto). </w:t>
      </w:r>
    </w:p>
    <w:p w:rsidR="00023EA6" w:rsidRDefault="00023EA6" w:rsidP="00023EA6">
      <w:r>
        <w:t>A nostro avviso</w:t>
      </w:r>
      <w:r w:rsidR="0063766A">
        <w:t>,</w:t>
      </w:r>
      <w:r>
        <w:t xml:space="preserve"> il licenziamento per superamento del periodo di comporto rientra nel regime generale, previsto dall’art. 3, comma 1 (che tratteremo tra breve), ossia nel regime che prevede l’esclusiva applicazione della tutela </w:t>
      </w:r>
      <w:proofErr w:type="spellStart"/>
      <w:r>
        <w:t>indennitaria</w:t>
      </w:r>
      <w:proofErr w:type="spellEnd"/>
      <w:r>
        <w:t>.</w:t>
      </w:r>
    </w:p>
    <w:p w:rsidR="0063766A" w:rsidRDefault="00023EA6" w:rsidP="00AD7049">
      <w:r>
        <w:t>A tale conclusione si perviene, anzitutto, per l</w:t>
      </w:r>
      <w:r w:rsidR="00B624C3">
        <w:t xml:space="preserve">a mancata previsione di una disposizione </w:t>
      </w:r>
      <w:r w:rsidR="00B624C3">
        <w:rPr>
          <w:i/>
        </w:rPr>
        <w:t xml:space="preserve">ad hoc </w:t>
      </w:r>
      <w:r>
        <w:t>che disciplini il licenziamento per superamento del periodo di comporto, dal che deriva l’applicazione del “regime sanzionatorio generale” che, come detto, nel contratto a</w:t>
      </w:r>
      <w:r w:rsidR="0063766A">
        <w:t xml:space="preserve"> </w:t>
      </w:r>
      <w:r>
        <w:t>tutele cresc</w:t>
      </w:r>
      <w:r w:rsidR="0063766A">
        <w:t>en</w:t>
      </w:r>
      <w:r>
        <w:t xml:space="preserve">ti </w:t>
      </w:r>
      <w:r w:rsidR="0063766A">
        <w:t xml:space="preserve">è il regime </w:t>
      </w:r>
      <w:proofErr w:type="spellStart"/>
      <w:r w:rsidR="0063766A">
        <w:t>indennitario</w:t>
      </w:r>
      <w:proofErr w:type="spellEnd"/>
      <w:r w:rsidR="0063766A">
        <w:t>.</w:t>
      </w:r>
    </w:p>
    <w:p w:rsidR="00530471" w:rsidRDefault="0063766A" w:rsidP="00AD7049">
      <w:r>
        <w:t>La conclusione è</w:t>
      </w:r>
      <w:r w:rsidR="000E494E">
        <w:t>,</w:t>
      </w:r>
      <w:r>
        <w:t xml:space="preserve"> poi</w:t>
      </w:r>
      <w:r w:rsidR="000E494E">
        <w:t>,</w:t>
      </w:r>
      <w:r>
        <w:t xml:space="preserve"> rafforzata dal fatto che, anche tra le ipotesi </w:t>
      </w:r>
      <w:r w:rsidR="00B624C3">
        <w:t xml:space="preserve">previste dall’art. 2 del D. </w:t>
      </w:r>
      <w:proofErr w:type="spellStart"/>
      <w:r w:rsidR="00B624C3">
        <w:t>Lgs</w:t>
      </w:r>
      <w:proofErr w:type="spellEnd"/>
      <w:r w:rsidR="00B624C3">
        <w:t>. n.</w:t>
      </w:r>
      <w:r w:rsidR="00625FC0" w:rsidRPr="00625FC0">
        <w:t xml:space="preserve"> </w:t>
      </w:r>
      <w:r w:rsidR="00625FC0">
        <w:t xml:space="preserve">23/2015 </w:t>
      </w:r>
      <w:r>
        <w:t>(ossia le ipotesi che portano all’applicazione della tutela della reintegrazione), non vi è un riferimento espresso all’ipotesi del licenziamento per superamento del periodo di comporto.</w:t>
      </w:r>
      <w:r w:rsidR="00B624C3">
        <w:t xml:space="preserve"> </w:t>
      </w:r>
    </w:p>
    <w:p w:rsidR="003D1423" w:rsidRDefault="0063766A" w:rsidP="00733E9C">
      <w:pPr>
        <w:contextualSpacing/>
      </w:pPr>
      <w:r>
        <w:t xml:space="preserve">Tornando </w:t>
      </w:r>
      <w:r w:rsidR="00847013">
        <w:t>alle conseguenze sanzionatorie</w:t>
      </w:r>
      <w:r>
        <w:t xml:space="preserve"> che derivano dalle ipotesi previste dall’art. 2</w:t>
      </w:r>
      <w:r w:rsidR="00847013">
        <w:t xml:space="preserve">, </w:t>
      </w:r>
      <w:r>
        <w:t xml:space="preserve">si evidenzia che </w:t>
      </w:r>
      <w:r w:rsidR="00847013">
        <w:t>queste ultime sono identiche a quelle previste dai primi tre commi dell’art. 18 della Legge n. 300/1970</w:t>
      </w:r>
      <w:r>
        <w:t>, ossia</w:t>
      </w:r>
      <w:r w:rsidR="00847013">
        <w:t xml:space="preserve">: </w:t>
      </w:r>
      <w:r w:rsidR="003D1423">
        <w:t xml:space="preserve">reintegrazione </w:t>
      </w:r>
      <w:r w:rsidR="000E494E">
        <w:t>“</w:t>
      </w:r>
      <w:r w:rsidR="003D1423">
        <w:t>piena</w:t>
      </w:r>
      <w:r w:rsidR="000E494E">
        <w:t>”, che comporta il</w:t>
      </w:r>
      <w:r w:rsidR="003D1423">
        <w:t xml:space="preserve"> </w:t>
      </w:r>
      <w:r>
        <w:t xml:space="preserve">riconoscimento di un’indennità </w:t>
      </w:r>
      <w:r w:rsidR="003D1423" w:rsidRPr="003D1423">
        <w:t>pari alle retribuzioni dovute dal momento del licenziamento a quello dell’effettiva reintegrazione</w:t>
      </w:r>
      <w:r w:rsidR="003D1423">
        <w:t xml:space="preserve"> (dedotto l’</w:t>
      </w:r>
      <w:proofErr w:type="spellStart"/>
      <w:r w:rsidR="003D1423">
        <w:rPr>
          <w:i/>
        </w:rPr>
        <w:t>aliunde</w:t>
      </w:r>
      <w:proofErr w:type="spellEnd"/>
      <w:r w:rsidR="003D1423">
        <w:rPr>
          <w:i/>
        </w:rPr>
        <w:t xml:space="preserve"> </w:t>
      </w:r>
      <w:proofErr w:type="spellStart"/>
      <w:r w:rsidR="003D1423">
        <w:rPr>
          <w:i/>
        </w:rPr>
        <w:t>perceptum</w:t>
      </w:r>
      <w:proofErr w:type="spellEnd"/>
      <w:r w:rsidR="000E494E">
        <w:t>) e il</w:t>
      </w:r>
      <w:r w:rsidR="003D1423">
        <w:t xml:space="preserve"> diritto al versamento dei contributi previdenziali ed assistenziali.</w:t>
      </w:r>
    </w:p>
    <w:p w:rsidR="00733E9C" w:rsidRDefault="00882FBE" w:rsidP="00AD7049">
      <w:r>
        <w:t xml:space="preserve">Resta, inoltre, ferma </w:t>
      </w:r>
      <w:r w:rsidR="00733E9C">
        <w:t>la possibilità per il lavoratore di richiedere, in sostituzione della reintegrazione un’indennità pari a quindici mensilità.</w:t>
      </w:r>
    </w:p>
    <w:p w:rsidR="002D6DD8" w:rsidRDefault="00733E9C" w:rsidP="00AD7049">
      <w:r>
        <w:lastRenderedPageBreak/>
        <w:t>Un’importante novità, come si è</w:t>
      </w:r>
      <w:r w:rsidR="002D6DD8">
        <w:t xml:space="preserve"> già avuto occasione di evidenziare, è rappresentata dalla diversa nozione di retribuzione </w:t>
      </w:r>
      <w:r w:rsidR="00E43D76">
        <w:t xml:space="preserve">da prendere a parametro </w:t>
      </w:r>
      <w:r w:rsidR="002D6DD8">
        <w:t xml:space="preserve">ai fini della determinazione dell’indennità </w:t>
      </w:r>
      <w:r w:rsidR="00E43D76">
        <w:t>risarcitoria: l’ultima retribuzione di riferimento per il calcolo del trattamento di fine rapporto.</w:t>
      </w:r>
    </w:p>
    <w:p w:rsidR="004E644B" w:rsidRDefault="004E644B" w:rsidP="00AD7049"/>
    <w:p w:rsidR="004E644B" w:rsidRDefault="004E644B" w:rsidP="004E644B">
      <w:pPr>
        <w:pStyle w:val="Titolo2"/>
        <w:jc w:val="center"/>
      </w:pPr>
      <w:bookmarkStart w:id="4" w:name="_Toc413232545"/>
      <w:r w:rsidRPr="00EC551A">
        <w:t xml:space="preserve">Licenziamento </w:t>
      </w:r>
      <w:r>
        <w:t>per giustificato motivo e giusta causa (art. 3).</w:t>
      </w:r>
      <w:bookmarkEnd w:id="4"/>
    </w:p>
    <w:p w:rsidR="00267E66" w:rsidRDefault="004E644B" w:rsidP="00AD7049">
      <w:r>
        <w:t xml:space="preserve">Il primo comma dell’art. 3 contiene la </w:t>
      </w:r>
      <w:r w:rsidR="00C21474">
        <w:t>disciplina degli effetti sanzionatori</w:t>
      </w:r>
      <w:r>
        <w:t xml:space="preserve"> </w:t>
      </w:r>
      <w:r w:rsidR="00C21474">
        <w:t xml:space="preserve">“generali” derivanti  da un </w:t>
      </w:r>
      <w:r>
        <w:t xml:space="preserve">licenziamento ingiustificato: </w:t>
      </w:r>
      <w:r w:rsidR="00267E66">
        <w:t xml:space="preserve">estinzione del rapporto e condanna al pagamento di un’indennità, non assoggettata a contribuzione previdenziale, pari a 2 mensilità dell’ultima retribuzione di riferimento per il calcolo del </w:t>
      </w:r>
      <w:proofErr w:type="spellStart"/>
      <w:r w:rsidR="00267E66">
        <w:t>tfr</w:t>
      </w:r>
      <w:proofErr w:type="spellEnd"/>
      <w:r w:rsidR="00C21474">
        <w:t>,</w:t>
      </w:r>
      <w:r w:rsidR="00267E66">
        <w:t xml:space="preserve"> per ogni anno di servizio. La misura dell’indennità non può in ogni caso essere inferiore a 4 mensilità, né superare le 24 mensilità.</w:t>
      </w:r>
    </w:p>
    <w:p w:rsidR="00450116" w:rsidRDefault="004616D6" w:rsidP="00AD7049">
      <w:r>
        <w:t>Tale sanzione opera sia con riferimento ai licenziamenti intimati per giustificato motivo oggettivo che con quelli intimati per giustificato m</w:t>
      </w:r>
      <w:r w:rsidR="0011278B">
        <w:t>otivo soggettivo o giusta causa, anche se p</w:t>
      </w:r>
      <w:r w:rsidR="00450116">
        <w:t xml:space="preserve">er </w:t>
      </w:r>
      <w:r w:rsidR="0011278B">
        <w:t>ragioni espositive è utile distinguere le due ipotesi.</w:t>
      </w:r>
    </w:p>
    <w:p w:rsidR="00617E5C" w:rsidRDefault="0011278B" w:rsidP="00AD7049">
      <w:r>
        <w:t xml:space="preserve">Per quanto riguarda il licenziamento intimato per giustificato motivo oggettivo, la scelta del D. </w:t>
      </w:r>
      <w:proofErr w:type="spellStart"/>
      <w:r>
        <w:t>Lgs</w:t>
      </w:r>
      <w:proofErr w:type="spellEnd"/>
      <w:r>
        <w:t xml:space="preserve">. n. </w:t>
      </w:r>
      <w:r w:rsidR="00EB368B">
        <w:t xml:space="preserve">23/2015 </w:t>
      </w:r>
      <w:r w:rsidR="00617E5C">
        <w:t>è molto chiara: in ca</w:t>
      </w:r>
      <w:r w:rsidR="00860968">
        <w:t>so di illegittimità di tale tipologia di</w:t>
      </w:r>
      <w:r w:rsidR="00617E5C">
        <w:t xml:space="preserve"> licenziamento l’unica sanzione applicabile è quella dell’indennizzo economico previsto dall’art. 3, comma 1. Per le nuove assunzioni viene, infatti, </w:t>
      </w:r>
      <w:r w:rsidR="00C21474">
        <w:t xml:space="preserve">definitivamente superata la possibilità della </w:t>
      </w:r>
      <w:r w:rsidR="00617E5C">
        <w:t>reintegrazione</w:t>
      </w:r>
      <w:r w:rsidR="00C21474">
        <w:t>,</w:t>
      </w:r>
      <w:r w:rsidR="00617E5C">
        <w:t xml:space="preserve"> prevista dall’art. 18 della Legge n. 300/1970 nell’ipotesi in cui </w:t>
      </w:r>
      <w:r w:rsidR="00C21474">
        <w:t xml:space="preserve">si </w:t>
      </w:r>
      <w:r w:rsidR="00617E5C">
        <w:t>“</w:t>
      </w:r>
      <w:r w:rsidR="00617E5C">
        <w:rPr>
          <w:i/>
        </w:rPr>
        <w:t>accerti la manifesta insussistenza del fatto posto a base del licenziamento per giustificato motivo oggettivo</w:t>
      </w:r>
      <w:r w:rsidR="00C21474">
        <w:t>”.</w:t>
      </w:r>
    </w:p>
    <w:p w:rsidR="004616D6" w:rsidRDefault="00101AD5" w:rsidP="00AD7049">
      <w:r>
        <w:t>Un’ulteriore impo</w:t>
      </w:r>
      <w:r w:rsidR="00860968">
        <w:t>rtante novità è stata prevista anche sotto il profilo della procedura. L’art. 3, comma 3</w:t>
      </w:r>
      <w:r w:rsidR="00C21474">
        <w:t>,</w:t>
      </w:r>
      <w:r w:rsidR="00860968">
        <w:t xml:space="preserve"> del D. </w:t>
      </w:r>
      <w:proofErr w:type="spellStart"/>
      <w:r w:rsidR="00860968">
        <w:t>Lgs</w:t>
      </w:r>
      <w:proofErr w:type="spellEnd"/>
      <w:r w:rsidR="00860968">
        <w:t xml:space="preserve">. n. </w:t>
      </w:r>
      <w:r w:rsidR="00EB368B">
        <w:t xml:space="preserve">23/2015 </w:t>
      </w:r>
      <w:r w:rsidR="00860968">
        <w:t>esclude l’applicazione della procedura preventiva</w:t>
      </w:r>
      <w:r w:rsidR="00C21474">
        <w:t>,</w:t>
      </w:r>
      <w:r w:rsidR="00860968">
        <w:t xml:space="preserve"> introdotta dalla riforma </w:t>
      </w:r>
      <w:proofErr w:type="spellStart"/>
      <w:r w:rsidR="00860968">
        <w:t>Fornero</w:t>
      </w:r>
      <w:proofErr w:type="spellEnd"/>
      <w:r w:rsidR="00860968">
        <w:t xml:space="preserve"> all’art. 7 della Legge n. 604/1966</w:t>
      </w:r>
      <w:r w:rsidR="00C21474">
        <w:t>, per i lavoratori assunti con contratto a tutele crescenti</w:t>
      </w:r>
      <w:r w:rsidR="00860968">
        <w:t xml:space="preserve">. Come noto, infatti, l’art. 1, comma 40, della Legge n. 92/2012 ha introdotto nel nostro ordinamento una procedura preventiva </w:t>
      </w:r>
      <w:r w:rsidR="007217C0">
        <w:t>tesa a favorire il raggiungimento di un accordo conciliativo tra le parti</w:t>
      </w:r>
      <w:r w:rsidR="00860968">
        <w:t xml:space="preserve"> qualora l’impresa, avente i requisiti dimensionali di cui all’art. 18, comma 8, della Legge n. 300/1970</w:t>
      </w:r>
      <w:r w:rsidR="007217C0">
        <w:t>,</w:t>
      </w:r>
      <w:r w:rsidR="00860968">
        <w:t xml:space="preserve"> sia intenzionata ad intimare un licenziamento per giustificato motivo oggettivo.</w:t>
      </w:r>
    </w:p>
    <w:p w:rsidR="00175996" w:rsidRDefault="00175996" w:rsidP="00AD7049">
      <w:pPr>
        <w:contextualSpacing/>
      </w:pPr>
      <w:r>
        <w:t>La scelta del legislatore di escludere l’applicazione della procedura di cui all’art. 7 della Legge n</w:t>
      </w:r>
      <w:r w:rsidR="0032683B">
        <w:t xml:space="preserve">. 604/1966 </w:t>
      </w:r>
      <w:r w:rsidR="00C21474">
        <w:t>si giustifica</w:t>
      </w:r>
      <w:r w:rsidR="00591A4D">
        <w:t xml:space="preserve"> alla luce della nuova disciplina sull’offerta di conciliazione contenuta nell’art. 6 del D. </w:t>
      </w:r>
      <w:proofErr w:type="spellStart"/>
      <w:r w:rsidR="00591A4D">
        <w:t>Lgs</w:t>
      </w:r>
      <w:proofErr w:type="spellEnd"/>
      <w:r w:rsidR="00591A4D">
        <w:t>. n.</w:t>
      </w:r>
      <w:r w:rsidR="00512D95" w:rsidRPr="00512D95">
        <w:t xml:space="preserve"> </w:t>
      </w:r>
      <w:r w:rsidR="00512D95">
        <w:t xml:space="preserve">23/2015 </w:t>
      </w:r>
      <w:r w:rsidR="00591A4D">
        <w:t xml:space="preserve">che </w:t>
      </w:r>
      <w:r w:rsidR="005B70A0">
        <w:t>verrà illustrata più avanti.</w:t>
      </w:r>
    </w:p>
    <w:p w:rsidR="000C6FD2" w:rsidRDefault="000C6FD2" w:rsidP="00AD7049">
      <w:pPr>
        <w:contextualSpacing/>
      </w:pPr>
    </w:p>
    <w:p w:rsidR="00A471CD" w:rsidRDefault="000C6FD2" w:rsidP="00AD7049">
      <w:r>
        <w:t xml:space="preserve">Più articolata è, invece, la disciplina sanzionatoria in caso di licenziamento </w:t>
      </w:r>
      <w:r w:rsidR="00081937">
        <w:t>per giustificato motivo soggettivo.</w:t>
      </w:r>
    </w:p>
    <w:p w:rsidR="000C6FD2" w:rsidRDefault="00A471CD" w:rsidP="00AD7049">
      <w:r>
        <w:t>Anche in questo caso</w:t>
      </w:r>
      <w:r w:rsidR="00C21474">
        <w:t>,</w:t>
      </w:r>
      <w:r>
        <w:t xml:space="preserve"> la regola generale è quella della tutela </w:t>
      </w:r>
      <w:proofErr w:type="spellStart"/>
      <w:r>
        <w:t>indennitaria</w:t>
      </w:r>
      <w:proofErr w:type="spellEnd"/>
      <w:r>
        <w:t xml:space="preserve"> prevista dall’art. 3, comma 1. Permane, tuttavia, un’ipotesi di reintegrazione</w:t>
      </w:r>
      <w:r w:rsidR="00C21474">
        <w:t>,</w:t>
      </w:r>
      <w:r>
        <w:t xml:space="preserve"> sebbene </w:t>
      </w:r>
      <w:r w:rsidR="00C21474">
        <w:t xml:space="preserve">molto </w:t>
      </w:r>
      <w:r>
        <w:t>più circoscritta rispetto a quanto previsto dall’art. 18, comma 4, della Legge n. 300/1970.</w:t>
      </w:r>
    </w:p>
    <w:p w:rsidR="00D16173" w:rsidRDefault="00A471CD" w:rsidP="00AD7049">
      <w:r>
        <w:lastRenderedPageBreak/>
        <w:t xml:space="preserve">L’art. 3, comma 2, del D. </w:t>
      </w:r>
      <w:proofErr w:type="spellStart"/>
      <w:r>
        <w:t>Lgs</w:t>
      </w:r>
      <w:proofErr w:type="spellEnd"/>
      <w:r>
        <w:t>. n.</w:t>
      </w:r>
      <w:r w:rsidR="00DF7B2B" w:rsidRPr="00DF7B2B">
        <w:t xml:space="preserve"> </w:t>
      </w:r>
      <w:r w:rsidR="00DF7B2B">
        <w:t xml:space="preserve">23/2015 </w:t>
      </w:r>
      <w:r>
        <w:t>limita, infatti, l’ipotesi in cui trova applicazione la reintegrazione al caso “</w:t>
      </w:r>
      <w:r w:rsidRPr="00A471CD">
        <w:rPr>
          <w:i/>
        </w:rPr>
        <w:t>in cui sia direttamente dimostrata in giudizio l'insussistenza del fatto materiale contestato al lavoratore, rispetto alla quale resta estranea ogni valutazione circa la sproporzione del licenziamento</w:t>
      </w:r>
      <w:r>
        <w:t xml:space="preserve">”. </w:t>
      </w:r>
    </w:p>
    <w:p w:rsidR="00CD0096" w:rsidRDefault="00D16173" w:rsidP="00AD7049">
      <w:r>
        <w:t>La prima novità contenuta nella norma è il venir meno dell’ipotesi di reintegrazione prevista dall’art. 18, comma 4, della Legge n. 300/1970</w:t>
      </w:r>
      <w:r w:rsidR="000E494E">
        <w:t>,</w:t>
      </w:r>
      <w:r>
        <w:t xml:space="preserve"> ovvero il caso in cui “</w:t>
      </w:r>
      <w:r w:rsidRPr="00D16173">
        <w:rPr>
          <w:i/>
        </w:rPr>
        <w:t>il fatto rientra tra le condotte punibili con una sanzione conservativa sulla base delle previsioni dei contratti collettivi ovvero dei codici disciplinari applicabili</w:t>
      </w:r>
      <w:r>
        <w:t>”.</w:t>
      </w:r>
      <w:r w:rsidR="00CD0096">
        <w:t xml:space="preserve"> </w:t>
      </w:r>
    </w:p>
    <w:p w:rsidR="00307179" w:rsidRDefault="00CD0096" w:rsidP="00AD7049">
      <w:r>
        <w:t xml:space="preserve">Inoltre, l’art. 3, comma 2, del D. </w:t>
      </w:r>
      <w:proofErr w:type="spellStart"/>
      <w:r>
        <w:t>Lgs</w:t>
      </w:r>
      <w:proofErr w:type="spellEnd"/>
      <w:r>
        <w:t xml:space="preserve">. n. </w:t>
      </w:r>
      <w:r w:rsidR="00172138">
        <w:t xml:space="preserve">23/2015 </w:t>
      </w:r>
      <w:r>
        <w:t>recepisce e cristallizza nella legge il principio</w:t>
      </w:r>
      <w:r w:rsidR="00307179">
        <w:t xml:space="preserve">, già affermato </w:t>
      </w:r>
      <w:r>
        <w:t>dalla sentenza</w:t>
      </w:r>
      <w:r w:rsidR="009D15A8">
        <w:t xml:space="preserve"> della Corte di Cassazione </w:t>
      </w:r>
      <w:r>
        <w:t>n.</w:t>
      </w:r>
      <w:r w:rsidR="009D15A8" w:rsidRPr="009D15A8">
        <w:t xml:space="preserve"> 23669/2014</w:t>
      </w:r>
      <w:r w:rsidR="00307179">
        <w:t xml:space="preserve"> con riferimento alla disciplina di cui all’art. 18, comma 4, della Legge n. 300/1970, </w:t>
      </w:r>
      <w:r w:rsidR="00F546A9">
        <w:t xml:space="preserve">secondo cui </w:t>
      </w:r>
      <w:r w:rsidR="00307179">
        <w:t xml:space="preserve">esula dal giudizio </w:t>
      </w:r>
      <w:r w:rsidR="00F0429B">
        <w:t>relativo all’insussistenza del fatto “</w:t>
      </w:r>
      <w:r w:rsidR="00F0429B" w:rsidRPr="00F0429B">
        <w:rPr>
          <w:i/>
          <w:iCs/>
        </w:rPr>
        <w:t>ogni valutazione attinente al profilo della proporzionalità della sanzione rispetto alla gravità del comportamento addebitato</w:t>
      </w:r>
      <w:r w:rsidR="00F0429B" w:rsidRPr="00F0429B">
        <w:t>”</w:t>
      </w:r>
      <w:r w:rsidR="00F0429B">
        <w:t>.</w:t>
      </w:r>
    </w:p>
    <w:p w:rsidR="00CA75B2" w:rsidRDefault="00F0429B" w:rsidP="00AD7049">
      <w:r>
        <w:t>Ne segue che, anche alla luce del</w:t>
      </w:r>
      <w:r w:rsidR="00CA75B2">
        <w:t>l’espressa previsione del</w:t>
      </w:r>
      <w:r>
        <w:t xml:space="preserve"> dato normativo</w:t>
      </w:r>
      <w:r w:rsidR="00CA75B2">
        <w:t xml:space="preserve">, il vizio di proporzionalità del licenziamento disciplinare </w:t>
      </w:r>
      <w:r w:rsidR="00C21474">
        <w:t xml:space="preserve">rileva al solo scopo di valutare la legittimità o meno del licenziamento ma non ha effetto alcuno sulla disciplina sanzionatoria, che consiste, sempre e comunque, nella </w:t>
      </w:r>
      <w:r w:rsidR="00CA75B2">
        <w:t xml:space="preserve">condanna al pagamento dell’indennità risarcitoria di cui all’art. 3, comma 1, del D. </w:t>
      </w:r>
      <w:proofErr w:type="spellStart"/>
      <w:r w:rsidR="00CA75B2">
        <w:t>Lgs</w:t>
      </w:r>
      <w:proofErr w:type="spellEnd"/>
      <w:r w:rsidR="00CA75B2">
        <w:t xml:space="preserve">. n. </w:t>
      </w:r>
      <w:r w:rsidR="00172138">
        <w:t>23/2015</w:t>
      </w:r>
      <w:r w:rsidR="00CA75B2">
        <w:t>.</w:t>
      </w:r>
    </w:p>
    <w:p w:rsidR="00C21474" w:rsidRDefault="00CA75B2" w:rsidP="00AD7049">
      <w:r>
        <w:t xml:space="preserve">Pertanto, l’applicazione della sanzione della reintegrazione opera esclusivamente nel caso in cui il licenziamento </w:t>
      </w:r>
      <w:r w:rsidR="002C3D8F">
        <w:t>sia viziato dall’</w:t>
      </w:r>
      <w:r w:rsidR="002C3D8F" w:rsidRPr="002C3D8F">
        <w:t>insussistenza del fatto materiale contestato al lavoratore</w:t>
      </w:r>
      <w:r w:rsidR="002C3D8F">
        <w:t>. Sul punto giova richiamare quanto chiarito dalla già citata sentenza della Corte di Cassazione n.</w:t>
      </w:r>
      <w:r w:rsidR="002C3D8F" w:rsidRPr="009D15A8">
        <w:t xml:space="preserve"> 23669/2014</w:t>
      </w:r>
      <w:r w:rsidR="002C3D8F">
        <w:t xml:space="preserve"> secondo cui “</w:t>
      </w:r>
      <w:r w:rsidR="002C3D8F" w:rsidRPr="002C3D8F">
        <w:rPr>
          <w:i/>
        </w:rPr>
        <w:t>tale verifica si risolve e si esaurisce nell'accertamento, positivo o negativo, dello stesso fatto, che dovrà essere condotto senza margini per valutazioni discrezionali, con riguardo alla individuazione della sussistenza o meno del fatto della cui esistenza si tratta</w:t>
      </w:r>
      <w:r w:rsidR="002C3D8F">
        <w:t xml:space="preserve">”. Ovviamente deve essere assimilata all’ipotesi dell’insussistenza materiale della condotta quella della non </w:t>
      </w:r>
      <w:proofErr w:type="spellStart"/>
      <w:r w:rsidR="002C3D8F">
        <w:t>attribuibilità</w:t>
      </w:r>
      <w:proofErr w:type="spellEnd"/>
      <w:r w:rsidR="002C3D8F">
        <w:t xml:space="preserve"> al lavoratore interessato dal provvedimento disciplinare. </w:t>
      </w:r>
    </w:p>
    <w:p w:rsidR="00CA75B2" w:rsidRDefault="002C3D8F" w:rsidP="00AD7049">
      <w:r>
        <w:t>Come di consueto</w:t>
      </w:r>
      <w:r w:rsidR="00C21474">
        <w:t>,</w:t>
      </w:r>
      <w:r>
        <w:t xml:space="preserve"> si raccomanda di prestare particolare attenzione in sede di redazione della contestazione disciplinare che descrive </w:t>
      </w:r>
      <w:r w:rsidR="008F1C60">
        <w:t>la condotta posta in essere dal lavoratore e posta alla base del licenziamento</w:t>
      </w:r>
      <w:r w:rsidR="00C21474">
        <w:t>, evitando, ove possibile, ogni qualificazione giuridica della fattispecie ed attenendosi strettamente alla descrizione del fatto contestato.</w:t>
      </w:r>
    </w:p>
    <w:p w:rsidR="00BE0DB2" w:rsidRDefault="00BE0DB2" w:rsidP="00AD7049">
      <w:r>
        <w:t>Fermo restando il tetto massimo delle 12 mensilità di indennità risarcitoria</w:t>
      </w:r>
      <w:r w:rsidR="00DF70C2">
        <w:t>,</w:t>
      </w:r>
      <w:r>
        <w:t xml:space="preserve"> nell’ipotesi in cui il licenziamento disciplinare è sanzionato con la reintegrazione, il D. </w:t>
      </w:r>
      <w:proofErr w:type="spellStart"/>
      <w:r>
        <w:t>Lgs</w:t>
      </w:r>
      <w:proofErr w:type="spellEnd"/>
      <w:r>
        <w:t>. n.</w:t>
      </w:r>
      <w:r w:rsidR="005B6E74" w:rsidRPr="005B6E74">
        <w:t xml:space="preserve"> </w:t>
      </w:r>
      <w:r w:rsidR="005B6E74">
        <w:t>23/2015</w:t>
      </w:r>
      <w:r>
        <w:t xml:space="preserve"> contiene alcune novità.</w:t>
      </w:r>
    </w:p>
    <w:p w:rsidR="00BE0DB2" w:rsidRDefault="00BE0DB2" w:rsidP="00AD7049">
      <w:r>
        <w:t xml:space="preserve">In primo luogo anche in questo caso la mensilità di riferimento non è più l’ultima retribuzione globale di fatto, bensì l’ultima retribuzione di riferimento per il calcolo del </w:t>
      </w:r>
      <w:proofErr w:type="spellStart"/>
      <w:r>
        <w:t>tfr</w:t>
      </w:r>
      <w:proofErr w:type="spellEnd"/>
      <w:r>
        <w:t>.</w:t>
      </w:r>
    </w:p>
    <w:p w:rsidR="00BA3A04" w:rsidRDefault="00BE0DB2" w:rsidP="00BA3A04">
      <w:r>
        <w:t xml:space="preserve">Vengono poi </w:t>
      </w:r>
      <w:r w:rsidR="00BA3A04">
        <w:t>delimitati</w:t>
      </w:r>
      <w:r>
        <w:t xml:space="preserve"> i confini </w:t>
      </w:r>
      <w:r w:rsidRPr="00BE0DB2">
        <w:t>dell’</w:t>
      </w:r>
      <w:proofErr w:type="spellStart"/>
      <w:r>
        <w:rPr>
          <w:i/>
        </w:rPr>
        <w:t>aliunde</w:t>
      </w:r>
      <w:proofErr w:type="spellEnd"/>
      <w:r>
        <w:rPr>
          <w:i/>
        </w:rPr>
        <w:t xml:space="preserve"> </w:t>
      </w:r>
      <w:proofErr w:type="spellStart"/>
      <w:r>
        <w:rPr>
          <w:i/>
        </w:rPr>
        <w:t>percipiendum</w:t>
      </w:r>
      <w:proofErr w:type="spellEnd"/>
      <w:r>
        <w:rPr>
          <w:i/>
        </w:rPr>
        <w:t xml:space="preserve"> </w:t>
      </w:r>
      <w:r w:rsidR="00BA3A04">
        <w:t xml:space="preserve">che, insieme </w:t>
      </w:r>
      <w:r w:rsidR="00BA3A04" w:rsidRPr="00BA3A04">
        <w:t>all’</w:t>
      </w:r>
      <w:proofErr w:type="spellStart"/>
      <w:r w:rsidR="00BA3A04">
        <w:rPr>
          <w:i/>
        </w:rPr>
        <w:t>aliunde</w:t>
      </w:r>
      <w:proofErr w:type="spellEnd"/>
      <w:r w:rsidR="00BA3A04">
        <w:rPr>
          <w:i/>
        </w:rPr>
        <w:t xml:space="preserve"> </w:t>
      </w:r>
      <w:proofErr w:type="spellStart"/>
      <w:r w:rsidR="00BA3A04">
        <w:rPr>
          <w:i/>
        </w:rPr>
        <w:t>perceptum</w:t>
      </w:r>
      <w:proofErr w:type="spellEnd"/>
      <w:r w:rsidR="00BA3A04">
        <w:t xml:space="preserve">, devono essere dedotti dall’indennità risarcitoria spettante al lavoratore. L’art. 3, comma 2, infatti, chiarisce che </w:t>
      </w:r>
      <w:r w:rsidR="00BA3A04" w:rsidRPr="00BE0DB2">
        <w:t>l’</w:t>
      </w:r>
      <w:proofErr w:type="spellStart"/>
      <w:r w:rsidR="00BA3A04">
        <w:rPr>
          <w:i/>
        </w:rPr>
        <w:t>aliunde</w:t>
      </w:r>
      <w:proofErr w:type="spellEnd"/>
      <w:r w:rsidR="00BA3A04">
        <w:rPr>
          <w:i/>
        </w:rPr>
        <w:t xml:space="preserve"> </w:t>
      </w:r>
      <w:proofErr w:type="spellStart"/>
      <w:r w:rsidR="00BA3A04">
        <w:rPr>
          <w:i/>
        </w:rPr>
        <w:t>percipiendum</w:t>
      </w:r>
      <w:proofErr w:type="spellEnd"/>
      <w:r w:rsidR="00BA3A04">
        <w:rPr>
          <w:i/>
        </w:rPr>
        <w:t xml:space="preserve"> </w:t>
      </w:r>
      <w:r w:rsidR="00BA3A04">
        <w:t xml:space="preserve">è determinato con riferimento a </w:t>
      </w:r>
      <w:r w:rsidR="00BA3A04">
        <w:lastRenderedPageBreak/>
        <w:t>quanto il lavoratore “</w:t>
      </w:r>
      <w:r w:rsidR="00BA3A04">
        <w:rPr>
          <w:i/>
        </w:rPr>
        <w:t>avrebbe potuto percepire accettando una congrua offerta di lavoro ai sensi dell’art. 4, comma 1, lett. c, del decreto legislativo 21 aprile 2000, n. 181</w:t>
      </w:r>
      <w:r w:rsidR="00BA3A04">
        <w:t xml:space="preserve">”. In base alla norma citata, si tratta di </w:t>
      </w:r>
      <w:r w:rsidR="00BA3A04" w:rsidRPr="00BA3A04">
        <w:t xml:space="preserve">una </w:t>
      </w:r>
      <w:r w:rsidR="00DF70C2">
        <w:t>“</w:t>
      </w:r>
      <w:r w:rsidR="00BA3A04" w:rsidRPr="00DF70C2">
        <w:rPr>
          <w:i/>
        </w:rPr>
        <w:t>congrua offerta di lavoro a tempo pieno ed indeterminato o determinato o di lavoro temporaneo nell'ambito dei bacini, distanza dal domicilio e tempi di trasporto con mezzi pubblici, stabiliti dalle Regioni</w:t>
      </w:r>
      <w:r w:rsidR="00DF70C2">
        <w:t>”</w:t>
      </w:r>
      <w:r w:rsidR="00BA3A04">
        <w:t>.</w:t>
      </w:r>
    </w:p>
    <w:p w:rsidR="001649D4" w:rsidRDefault="001649D4" w:rsidP="00BA3A04"/>
    <w:p w:rsidR="001649D4" w:rsidRDefault="001649D4" w:rsidP="001649D4">
      <w:pPr>
        <w:pStyle w:val="Titolo2"/>
        <w:jc w:val="center"/>
      </w:pPr>
      <w:bookmarkStart w:id="5" w:name="_Toc413232546"/>
      <w:r>
        <w:t>Vizi formali e procedurali (art. 4).</w:t>
      </w:r>
      <w:bookmarkEnd w:id="5"/>
    </w:p>
    <w:p w:rsidR="001649D4" w:rsidRDefault="00FF7904" w:rsidP="00BA3A04">
      <w:r>
        <w:t>Anche la disciplina del licenziamento illegittimo per vizi formali e procedurali presenta elementi di novità importanti.</w:t>
      </w:r>
    </w:p>
    <w:p w:rsidR="00FF7904" w:rsidRDefault="00FF7904" w:rsidP="00BA3A04">
      <w:r>
        <w:t>In primo luogo viene eliminato il riferimento alla procedura prevista dall’art. 7 della Legge n. 604/1966</w:t>
      </w:r>
      <w:r w:rsidR="00A1558B">
        <w:t>,</w:t>
      </w:r>
      <w:r w:rsidR="00BE5150">
        <w:t xml:space="preserve"> coerentemente alla previsione dell’art. 3, comma 3</w:t>
      </w:r>
      <w:r w:rsidR="00DF70C2">
        <w:t>,</w:t>
      </w:r>
      <w:r w:rsidR="00BE5150">
        <w:t xml:space="preserve"> del </w:t>
      </w:r>
      <w:r w:rsidR="00A1558B">
        <w:t xml:space="preserve">D. </w:t>
      </w:r>
      <w:proofErr w:type="spellStart"/>
      <w:r w:rsidR="00A1558B">
        <w:t>Lgs</w:t>
      </w:r>
      <w:proofErr w:type="spellEnd"/>
      <w:r w:rsidR="00A1558B">
        <w:t xml:space="preserve">. n. </w:t>
      </w:r>
      <w:r w:rsidR="000462DC">
        <w:t>23/2015</w:t>
      </w:r>
      <w:r w:rsidR="00A1558B">
        <w:t xml:space="preserve"> che esclude l’applicazione della procedura preventiva di conciliazione per i licenziamenti per giustificato motivo oggettivo intimati nei confronti di lavoratori per i quali trova applicazione la disciplina del contratto a tutele crescenti.</w:t>
      </w:r>
    </w:p>
    <w:p w:rsidR="00A1558B" w:rsidRDefault="00941D91" w:rsidP="00BA3A04">
      <w:r>
        <w:t>Divers</w:t>
      </w:r>
      <w:r w:rsidR="000A712A">
        <w:t xml:space="preserve">e sono poi le modalità di determinazione dell’indennità risarcitoria dovuta al lavoratore in caso di violazione del requisito di motivazione del licenziamento o di mancato rispetto della procedura prevista per il licenziamento disciplinare: una mensilità dell’ultima retribuzione di riferimento per il calcolo del </w:t>
      </w:r>
      <w:proofErr w:type="spellStart"/>
      <w:r w:rsidR="000A712A">
        <w:t>tfr</w:t>
      </w:r>
      <w:proofErr w:type="spellEnd"/>
      <w:r w:rsidR="000A712A">
        <w:t xml:space="preserve"> per ogni anno di servizio, in misura non inferiore a 2 mensilità e non superiore alle 12 mensilità.</w:t>
      </w:r>
    </w:p>
    <w:p w:rsidR="00C33D5F" w:rsidRDefault="00C33D5F" w:rsidP="00BA3A04"/>
    <w:p w:rsidR="00896C6B" w:rsidRDefault="00896C6B" w:rsidP="00896C6B">
      <w:pPr>
        <w:pStyle w:val="Titolo2"/>
        <w:jc w:val="center"/>
      </w:pPr>
      <w:bookmarkStart w:id="6" w:name="_Toc413232547"/>
      <w:r w:rsidRPr="00EC551A">
        <w:t xml:space="preserve">Licenziamento </w:t>
      </w:r>
      <w:r w:rsidR="00CC13AC">
        <w:t>collettivo</w:t>
      </w:r>
      <w:r>
        <w:t xml:space="preserve"> (art. </w:t>
      </w:r>
      <w:r w:rsidR="00CC13AC">
        <w:t>10</w:t>
      </w:r>
      <w:r>
        <w:t>).</w:t>
      </w:r>
      <w:bookmarkEnd w:id="6"/>
    </w:p>
    <w:p w:rsidR="00CC13AC" w:rsidRDefault="00CC13AC" w:rsidP="00BA3A04">
      <w:r>
        <w:t xml:space="preserve">Importante novità del D. </w:t>
      </w:r>
      <w:proofErr w:type="spellStart"/>
      <w:r>
        <w:t>Lgs</w:t>
      </w:r>
      <w:proofErr w:type="spellEnd"/>
      <w:r>
        <w:t>. n.</w:t>
      </w:r>
      <w:r w:rsidR="000462DC" w:rsidRPr="000462DC">
        <w:t xml:space="preserve"> </w:t>
      </w:r>
      <w:r w:rsidR="000462DC">
        <w:t xml:space="preserve">23/2015 </w:t>
      </w:r>
      <w:r>
        <w:t xml:space="preserve">è rappresentata dalla previsione della tutela </w:t>
      </w:r>
      <w:proofErr w:type="spellStart"/>
      <w:r>
        <w:t>indennitaria</w:t>
      </w:r>
      <w:proofErr w:type="spellEnd"/>
      <w:r>
        <w:t xml:space="preserve"> in caso di illegittimità di un licenziamento collettivo intimato nei confronti di un lavoratore con contratto a tutele crescenti.</w:t>
      </w:r>
      <w:r w:rsidR="00366D99">
        <w:t xml:space="preserve"> Viene così meno</w:t>
      </w:r>
      <w:r w:rsidR="00DF70C2">
        <w:t>,</w:t>
      </w:r>
      <w:r w:rsidR="00366D99">
        <w:t xml:space="preserve"> per tali lavoratori</w:t>
      </w:r>
      <w:r w:rsidR="00DF70C2">
        <w:t>,</w:t>
      </w:r>
      <w:r w:rsidR="00366D99">
        <w:t xml:space="preserve"> la tutela della reintegrazione prevista dall’art. 5, comma 3, della Legge n. 223/1991 nei casi di violazione dei criteri di scelta dei lavoratori interessati dal licenziamento.</w:t>
      </w:r>
    </w:p>
    <w:p w:rsidR="00322782" w:rsidRDefault="00366D99" w:rsidP="00322782">
      <w:r>
        <w:t xml:space="preserve">In particolare, sia la violazione della procedura di licenziamento collettivo che </w:t>
      </w:r>
      <w:r w:rsidR="00DF70C2">
        <w:t xml:space="preserve">la violazione </w:t>
      </w:r>
      <w:r>
        <w:t>dei criteri di scelta sono ricomprese nel regime generale di cui all’art. 3, comma 1</w:t>
      </w:r>
      <w:r w:rsidR="00DF70C2">
        <w:t>,</w:t>
      </w:r>
      <w:r>
        <w:t xml:space="preserve"> con conseguente diritto del lavoratore a</w:t>
      </w:r>
      <w:r w:rsidR="00322782">
        <w:t>d un’indennità pari</w:t>
      </w:r>
      <w:r>
        <w:t xml:space="preserve"> due mensilità</w:t>
      </w:r>
      <w:r w:rsidR="00322782">
        <w:t xml:space="preserve"> </w:t>
      </w:r>
      <w:r w:rsidR="00322782" w:rsidRPr="00322782">
        <w:t>dell’ultima retribuzione di riferimento per il calcolo del trattamento di fine rapporto per ogni anno di servizio</w:t>
      </w:r>
      <w:r w:rsidR="00322782">
        <w:t xml:space="preserve"> (</w:t>
      </w:r>
      <w:r w:rsidR="00322782" w:rsidRPr="00322782">
        <w:t>comunque non inferiore a quattro e non superiore a ventiquattro mensilità</w:t>
      </w:r>
      <w:r w:rsidR="00322782">
        <w:t>).</w:t>
      </w:r>
    </w:p>
    <w:p w:rsidR="00366D99" w:rsidRDefault="00366D99" w:rsidP="00BA3A04">
      <w:r>
        <w:t>L’unica ipotesi di reintegrazione prevista è quella della mancanza della forma scritta, ipotesi che determina l’applicazione del regime sanzionatorio di cui all’art. 2.</w:t>
      </w:r>
    </w:p>
    <w:p w:rsidR="00A60179" w:rsidRDefault="00A60179" w:rsidP="00A60179">
      <w:pPr>
        <w:pStyle w:val="Titolo1"/>
      </w:pPr>
      <w:bookmarkStart w:id="7" w:name="_Toc413232548"/>
      <w:r>
        <w:t>Offerta di conciliazione (art. 6).</w:t>
      </w:r>
      <w:bookmarkEnd w:id="7"/>
    </w:p>
    <w:p w:rsidR="00516894" w:rsidRDefault="00F644F0" w:rsidP="001817B0">
      <w:r>
        <w:t xml:space="preserve">Un’altra importante novità prevista dal D. </w:t>
      </w:r>
      <w:proofErr w:type="spellStart"/>
      <w:r>
        <w:t>Lgs</w:t>
      </w:r>
      <w:proofErr w:type="spellEnd"/>
      <w:r>
        <w:t>. n.</w:t>
      </w:r>
      <w:r w:rsidR="00114132">
        <w:t xml:space="preserve"> 23/2015 </w:t>
      </w:r>
      <w:r w:rsidR="00AF1C1F">
        <w:t xml:space="preserve">è l’introduzione di una </w:t>
      </w:r>
      <w:r w:rsidR="001E304F">
        <w:t xml:space="preserve">nuova </w:t>
      </w:r>
      <w:r w:rsidR="00AF1C1F">
        <w:t>procedura</w:t>
      </w:r>
      <w:r w:rsidR="001E304F">
        <w:t xml:space="preserve"> tesa a favorire il raggiungimento di un accordo di conciliazione in caso di licenziamento di un lavoratore per il quale trova applicazione la disciplina del </w:t>
      </w:r>
      <w:r w:rsidR="00516894">
        <w:t xml:space="preserve">contratto a </w:t>
      </w:r>
      <w:r w:rsidR="00516894">
        <w:lastRenderedPageBreak/>
        <w:t>tutele crescenti.</w:t>
      </w:r>
      <w:r w:rsidR="00EA494D">
        <w:t xml:space="preserve"> La norma è formulata in modo così ampio che si ritiene applicabile anche ai licenziamenti conseguenti ad una procedura di licenziamento collettivo.</w:t>
      </w:r>
    </w:p>
    <w:p w:rsidR="00FA5201" w:rsidRDefault="00DF70C2" w:rsidP="001817B0">
      <w:r>
        <w:t>L</w:t>
      </w:r>
      <w:r w:rsidR="00FA5201">
        <w:t xml:space="preserve">’art. 6 prevede espressamente che la procedure dell’offerta di conciliazione non esclude la possibilità per le parti di avvalersi di altre modalità di conciliazione previste dalla legge. Si ricorda, tuttavia, che l’art. 3, comma 3, del D. </w:t>
      </w:r>
      <w:proofErr w:type="spellStart"/>
      <w:r w:rsidR="00FA5201">
        <w:t>Lgs</w:t>
      </w:r>
      <w:proofErr w:type="spellEnd"/>
      <w:r w:rsidR="00FA5201">
        <w:t>. n.</w:t>
      </w:r>
      <w:r w:rsidR="00114132">
        <w:t xml:space="preserve"> 23/2015</w:t>
      </w:r>
      <w:r w:rsidR="00FA5201">
        <w:t xml:space="preserve"> esclude l’applicazione della procedura preventiva per i licenziamenti per giustificato motivo oggettivo di cui all’art. 7 della Legge n. 604/1966.</w:t>
      </w:r>
    </w:p>
    <w:p w:rsidR="00E076B4" w:rsidRDefault="00895309" w:rsidP="001817B0">
      <w:r>
        <w:t xml:space="preserve">La nuova procedura dell’offerta di conciliazione non ha né carattere obbligatorio, né preventivo. Infatti, successivamente al licenziamento, è rimessa alla discrezionalità del </w:t>
      </w:r>
      <w:r w:rsidR="002B1EEC">
        <w:t xml:space="preserve">datore di lavoro </w:t>
      </w:r>
      <w:r>
        <w:t>la facoltà di offrire</w:t>
      </w:r>
      <w:r w:rsidR="00E076B4">
        <w:t xml:space="preserve"> al lavoratore la somma prevista dalla legge per giungere all’accordo di conciliazione.</w:t>
      </w:r>
    </w:p>
    <w:p w:rsidR="00FA5201" w:rsidRDefault="001B394F" w:rsidP="001817B0">
      <w:r>
        <w:t xml:space="preserve">Tuttavia, tale facoltà deve essere esercitata </w:t>
      </w:r>
      <w:r w:rsidR="00B54FA8">
        <w:t>dal datore di lavoro “</w:t>
      </w:r>
      <w:r w:rsidR="00B54FA8">
        <w:rPr>
          <w:i/>
        </w:rPr>
        <w:t>entro i termini di impugnazione stragiudiziale del licenziamento</w:t>
      </w:r>
      <w:r w:rsidR="00B54FA8">
        <w:t>”, ovvero entro 60 giorni dalla ricezione della comunicazione del licenziamento (cfr. art. 6, comma 1, Legge n. 604/1966).</w:t>
      </w:r>
    </w:p>
    <w:p w:rsidR="004D120E" w:rsidRDefault="00C478B6" w:rsidP="001817B0">
      <w:r>
        <w:t>Entro il termine di 60 giorni il datore di lavoro dovrà aver effettuato l’offerta e l’art. 6 richiede che essa avvenga in una delle sedi idonee per effettuare rinunce e transazioni ai sensi dell’art. 2113, comma 4, c.c. ovvero</w:t>
      </w:r>
      <w:r w:rsidR="00262BE7">
        <w:t xml:space="preserve"> presso gli organi di certificazione di cui all’art. 76 del D. </w:t>
      </w:r>
      <w:proofErr w:type="spellStart"/>
      <w:r w:rsidR="00262BE7">
        <w:t>Lgs</w:t>
      </w:r>
      <w:proofErr w:type="spellEnd"/>
      <w:r w:rsidR="00262BE7">
        <w:t>. n. 2</w:t>
      </w:r>
      <w:r w:rsidR="00491DC0">
        <w:t>76/2003,</w:t>
      </w:r>
      <w:r w:rsidR="004D120E">
        <w:t xml:space="preserve"> mediante consegna al lavoratore di un assegno circolare.</w:t>
      </w:r>
    </w:p>
    <w:p w:rsidR="00491DC0" w:rsidRDefault="00491DC0" w:rsidP="001817B0">
      <w:r>
        <w:t>A nostro avviso la materiale consegna dell’assegno, la cui offerta fosse formalmente verbalizzata nei termini e nelle sedi previste dalla legge, potrebbe avvenire anche successivamente al temine dei sessanta giorni, tanto più ove ciò avvenisse nell’ambito di una più ampia definizione conciliativa delle questioni derivanti dall’intercorso rapporto di lavoro.</w:t>
      </w:r>
    </w:p>
    <w:p w:rsidR="00491DC0" w:rsidRDefault="00491DC0" w:rsidP="001817B0">
      <w:r>
        <w:t>Sarà, però, opportuno attendere, sul punto, le indicazioni che verranno dal Ministero del Lavoro.</w:t>
      </w:r>
    </w:p>
    <w:p w:rsidR="0090313B" w:rsidRDefault="00491DC0" w:rsidP="001817B0">
      <w:pPr>
        <w:contextualSpacing/>
      </w:pPr>
      <w:r>
        <w:t xml:space="preserve">La procedura di definizione dell’offerta conciliativa </w:t>
      </w:r>
      <w:r w:rsidR="004D120E">
        <w:t xml:space="preserve">rappresenta uno </w:t>
      </w:r>
      <w:r>
        <w:t>degli aspetti più innovativi introdotti dal Decreto: è</w:t>
      </w:r>
      <w:r w:rsidR="004D120E">
        <w:t xml:space="preserve"> caratterizza</w:t>
      </w:r>
      <w:r>
        <w:t xml:space="preserve">ta dalla previsione della consegna di un importo </w:t>
      </w:r>
      <w:r w:rsidR="0090313B">
        <w:t xml:space="preserve">predeterminato dalla legge e che non è soggetto né ad oneri fiscali né a contribuzione previdenziale. Tale importo è pari a </w:t>
      </w:r>
      <w:r w:rsidR="0090313B" w:rsidRPr="0090313B">
        <w:t>una mensilità della retribuzione di riferimento per il calcolo del trattamento di fine rapporto per ogni anno di servizio</w:t>
      </w:r>
      <w:r w:rsidR="00926F2B" w:rsidRPr="00926F2B">
        <w:t>, in misura comunque non inferiore a due e non superiore a diciotto mensilità</w:t>
      </w:r>
      <w:r w:rsidR="0090313B">
        <w:t>.</w:t>
      </w:r>
    </w:p>
    <w:p w:rsidR="00DF33CC" w:rsidRDefault="00DF33CC" w:rsidP="001817B0">
      <w:pPr>
        <w:contextualSpacing/>
      </w:pPr>
    </w:p>
    <w:p w:rsidR="009A5AC3" w:rsidRDefault="0090313B" w:rsidP="001817B0">
      <w:r>
        <w:t xml:space="preserve">A ragione degli </w:t>
      </w:r>
      <w:r w:rsidR="009A5AC3">
        <w:t xml:space="preserve">incentivi di cui beneficiano le somme, a copertura dei quali sono stati previsti dal comma 2 specifici stanziamenti, </w:t>
      </w:r>
      <w:r w:rsidR="00D9115D">
        <w:t xml:space="preserve">nonché stante il tenore letterale della disposizione di cui all’art. 6, comma 1, </w:t>
      </w:r>
      <w:r w:rsidR="00926F2B">
        <w:t>si ritiene che il limite delle diciotto mensilità costituisca un tetto massimo e che l’</w:t>
      </w:r>
      <w:r w:rsidR="00DF33CC">
        <w:t>importo dell’</w:t>
      </w:r>
      <w:r w:rsidR="00926F2B">
        <w:t xml:space="preserve">assegno circolare </w:t>
      </w:r>
      <w:r w:rsidR="00AA4E5B">
        <w:t xml:space="preserve">debba </w:t>
      </w:r>
      <w:r w:rsidR="00DF33CC">
        <w:t xml:space="preserve">essere strettamente </w:t>
      </w:r>
      <w:proofErr w:type="spellStart"/>
      <w:r w:rsidR="00AA4E5B">
        <w:t>parametrato</w:t>
      </w:r>
      <w:proofErr w:type="spellEnd"/>
      <w:r w:rsidR="00AA4E5B">
        <w:t xml:space="preserve"> all’anzianità di servizio del lavoratore.</w:t>
      </w:r>
    </w:p>
    <w:p w:rsidR="00E40604" w:rsidRDefault="007069EA" w:rsidP="001817B0">
      <w:bookmarkStart w:id="8" w:name="_GoBack"/>
      <w:bookmarkEnd w:id="8"/>
      <w:r>
        <w:t xml:space="preserve">L’altra caratteristica rilevante della disciplina prevista dall’art. 6 </w:t>
      </w:r>
      <w:r w:rsidR="00E40604">
        <w:t xml:space="preserve">del D. </w:t>
      </w:r>
      <w:proofErr w:type="spellStart"/>
      <w:r w:rsidR="00E40604">
        <w:t>Lgs</w:t>
      </w:r>
      <w:proofErr w:type="spellEnd"/>
      <w:r w:rsidR="00E40604">
        <w:t xml:space="preserve">. n. </w:t>
      </w:r>
      <w:r w:rsidR="00727990">
        <w:t>23/2015</w:t>
      </w:r>
      <w:r w:rsidR="00E40604">
        <w:t xml:space="preserve"> è la previsione di un effetto automatico di legge derivante dall’accettazione dell’assegno da </w:t>
      </w:r>
      <w:r w:rsidR="00E40604">
        <w:lastRenderedPageBreak/>
        <w:t xml:space="preserve">parte del lavoratore. Tale accettazione comporta </w:t>
      </w:r>
      <w:r w:rsidR="00E40604">
        <w:rPr>
          <w:i/>
        </w:rPr>
        <w:t xml:space="preserve">ex </w:t>
      </w:r>
      <w:proofErr w:type="spellStart"/>
      <w:r w:rsidR="00E40604">
        <w:rPr>
          <w:i/>
        </w:rPr>
        <w:t>lege</w:t>
      </w:r>
      <w:proofErr w:type="spellEnd"/>
      <w:r w:rsidR="00E40604">
        <w:t xml:space="preserve"> l’estinzione del rapporto di lavoro e la rinuncia del lavoratore all’impugnazione del licenziamento anche qualora questa sia già stata effettuata.</w:t>
      </w:r>
    </w:p>
    <w:p w:rsidR="00E85F79" w:rsidRDefault="00A848B2" w:rsidP="001817B0">
      <w:r>
        <w:t>Occorre</w:t>
      </w:r>
      <w:r w:rsidR="00DF33CC">
        <w:t>, comunque</w:t>
      </w:r>
      <w:r w:rsidR="00E85F79">
        <w:t xml:space="preserve">, </w:t>
      </w:r>
      <w:r>
        <w:t xml:space="preserve">evidenziare che l’atto giuridico che determina la cessazione del rapporto di lavoro ha, a tutti gli effetti di legge, natura di licenziamento. </w:t>
      </w:r>
      <w:r w:rsidR="007659C0">
        <w:t>L’art. 6, comma 1, peraltro, prevede espressamente che l’estinzione del rapporto di lavoro avviene fin dalla data di comunicazione del licenziamento.</w:t>
      </w:r>
      <w:r w:rsidR="00DF33CC">
        <w:t xml:space="preserve"> Dunque il lavoratore avrà senz’altro accesso alle prestazioni di sostegno al reddito per i disoccupati.</w:t>
      </w:r>
    </w:p>
    <w:p w:rsidR="00995DAB" w:rsidRDefault="007659C0" w:rsidP="001817B0">
      <w:r>
        <w:t>È importante soffermarsi su</w:t>
      </w:r>
      <w:r w:rsidR="0020252A">
        <w:t xml:space="preserve">gli </w:t>
      </w:r>
      <w:r>
        <w:t>eff</w:t>
      </w:r>
      <w:r w:rsidR="0020252A">
        <w:t>ett</w:t>
      </w:r>
      <w:r>
        <w:t>i</w:t>
      </w:r>
      <w:r w:rsidR="0020252A">
        <w:t xml:space="preserve"> che la le</w:t>
      </w:r>
      <w:r>
        <w:t xml:space="preserve">gge </w:t>
      </w:r>
      <w:r w:rsidR="0020252A">
        <w:t>fa derivare dall’accettazione dell’assegno circolare</w:t>
      </w:r>
      <w:r w:rsidR="00995DAB">
        <w:t xml:space="preserve">. L’effetto di rinuncia </w:t>
      </w:r>
      <w:r w:rsidR="00995DAB">
        <w:rPr>
          <w:i/>
        </w:rPr>
        <w:t xml:space="preserve">ex </w:t>
      </w:r>
      <w:proofErr w:type="spellStart"/>
      <w:r w:rsidR="00995DAB">
        <w:rPr>
          <w:i/>
        </w:rPr>
        <w:t>lege</w:t>
      </w:r>
      <w:proofErr w:type="spellEnd"/>
      <w:r w:rsidR="00995DAB">
        <w:rPr>
          <w:i/>
        </w:rPr>
        <w:t xml:space="preserve"> </w:t>
      </w:r>
      <w:r w:rsidR="00995DAB">
        <w:t>riguarda</w:t>
      </w:r>
      <w:r w:rsidR="00823EA5">
        <w:t>,</w:t>
      </w:r>
      <w:r w:rsidR="00995DAB">
        <w:t xml:space="preserve"> per espressa previsione normativa</w:t>
      </w:r>
      <w:r w:rsidR="00823EA5">
        <w:t>,</w:t>
      </w:r>
      <w:r w:rsidR="00995DAB">
        <w:t xml:space="preserve"> solamente l’impugnazione del licenziamento. Non si estende, pertanto, ad ulteriori profili di eventuale contenzioso collegati alla cessazione del rapporto di lavoro (ad es. differenze retributive). </w:t>
      </w:r>
    </w:p>
    <w:p w:rsidR="00B4529A" w:rsidRDefault="00995DAB" w:rsidP="007A55A2">
      <w:r>
        <w:t>Qualora vi sia l’interesse ad una definizione più complessiva dei rapporti giuridici connessi al rapporto di lav</w:t>
      </w:r>
      <w:r w:rsidR="00823EA5">
        <w:t>oro, occorrerà addivenire ad un pi</w:t>
      </w:r>
      <w:r w:rsidR="00827BAC">
        <w:t>ù ampio accordo transattivo</w:t>
      </w:r>
      <w:r>
        <w:t xml:space="preserve"> che tenga conto anche di tali ulteriori profili</w:t>
      </w:r>
      <w:r w:rsidR="00293DD8">
        <w:t>. Si tratta di un’ipotesi prevista dalla stessa normativa che</w:t>
      </w:r>
      <w:r w:rsidR="00827BAC">
        <w:t>,</w:t>
      </w:r>
      <w:r w:rsidR="00293DD8">
        <w:t xml:space="preserve"> all’ultimo </w:t>
      </w:r>
      <w:r w:rsidR="00827BAC">
        <w:t xml:space="preserve">periodo dell’art. 6, comma 1, richiama espressamente la disciplina </w:t>
      </w:r>
      <w:r w:rsidR="009D488B">
        <w:t>fiscale</w:t>
      </w:r>
      <w:r w:rsidR="00B4529A">
        <w:t xml:space="preserve"> </w:t>
      </w:r>
      <w:r w:rsidR="00827BAC">
        <w:t xml:space="preserve">applicabile, </w:t>
      </w:r>
      <w:r w:rsidR="00B4529A">
        <w:t xml:space="preserve">chiarendo che tali ulteriori somme non beneficiano </w:t>
      </w:r>
      <w:r w:rsidR="004F6C61">
        <w:t>de</w:t>
      </w:r>
      <w:r w:rsidR="00620575">
        <w:t>ll’</w:t>
      </w:r>
      <w:r w:rsidR="004F6C61">
        <w:t>incentiv</w:t>
      </w:r>
      <w:r w:rsidR="00620575">
        <w:t>o</w:t>
      </w:r>
      <w:r w:rsidR="004F6C61">
        <w:t xml:space="preserve"> della detassazione ma sono assoggettate al regime </w:t>
      </w:r>
      <w:r w:rsidR="00620575">
        <w:t xml:space="preserve">fiscale </w:t>
      </w:r>
      <w:r w:rsidR="00827BAC">
        <w:t>ordinario ossia, a nostro avviso, quello ordinariamente previsto per le transazioni.</w:t>
      </w:r>
    </w:p>
    <w:p w:rsidR="007A55A2" w:rsidRDefault="001B3124" w:rsidP="007A55A2">
      <w:r>
        <w:t xml:space="preserve">Infine, il comma 3 </w:t>
      </w:r>
      <w:r w:rsidR="005A4FE8">
        <w:t>prevede una particolare disciplina per il monitoraggio e la valutazione di questa nuova procedura.</w:t>
      </w:r>
    </w:p>
    <w:p w:rsidR="00585A58" w:rsidRDefault="00585A58" w:rsidP="007A55A2">
      <w:r>
        <w:t xml:space="preserve">In primo luogo, il monitoraggio dell’attuazione di questa disposizione </w:t>
      </w:r>
      <w:r w:rsidR="00827BAC">
        <w:t xml:space="preserve">è affidato </w:t>
      </w:r>
      <w:r>
        <w:t xml:space="preserve">al sistema permanente di monitoraggio di cui all’art. 1, comma 2, della Legge n. 92/2012. </w:t>
      </w:r>
    </w:p>
    <w:p w:rsidR="00827BAC" w:rsidRDefault="00585A58" w:rsidP="007A55A2">
      <w:pPr>
        <w:contextualSpacing/>
      </w:pPr>
      <w:r>
        <w:t xml:space="preserve">Inoltre, </w:t>
      </w:r>
      <w:r w:rsidR="00827BAC">
        <w:t>l’</w:t>
      </w:r>
      <w:r>
        <w:t xml:space="preserve">attività di monitoraggio coinvolge direttamente i datori di lavoro e le imprese. </w:t>
      </w:r>
    </w:p>
    <w:p w:rsidR="008F0737" w:rsidRDefault="008F0737" w:rsidP="007A55A2">
      <w:pPr>
        <w:contextualSpacing/>
      </w:pPr>
      <w:r>
        <w:t>È stato, infatti, previsto un onere di comunicazione aggiuntivo rispetto alla comunicazione obbligatoria telematica di cessazione del rapporto di lavoro.</w:t>
      </w:r>
    </w:p>
    <w:p w:rsidR="00585A58" w:rsidRDefault="008F0737" w:rsidP="007A55A2">
      <w:pPr>
        <w:contextualSpacing/>
      </w:pPr>
      <w:r>
        <w:t>La comunicazione integrativa deve essere effettuata nel termine perentorio di 65 giorni decorrenti dalla cessazione del rapporto di lavoro e deve contenere l’indicazione dell’avvenuta ovvero non avvenuta conciliazione ai sensi della presente disposizione. Viene conseguentemente previsto che si dovrà procedere alla riformulazione del modello di trasmissione della comunicazione obbligatoria.</w:t>
      </w:r>
    </w:p>
    <w:p w:rsidR="002969EE" w:rsidRDefault="002969EE" w:rsidP="00A02D18">
      <w:r>
        <w:t xml:space="preserve">L’art. 6, comma 3, del D. </w:t>
      </w:r>
      <w:proofErr w:type="spellStart"/>
      <w:r>
        <w:t>Lgs</w:t>
      </w:r>
      <w:proofErr w:type="spellEnd"/>
      <w:r>
        <w:t>. n.</w:t>
      </w:r>
      <w:r w:rsidR="006E05E3">
        <w:t xml:space="preserve"> 23/2015 </w:t>
      </w:r>
      <w:r>
        <w:t>prevede l</w:t>
      </w:r>
      <w:r w:rsidR="008F0737">
        <w:t>’omessa</w:t>
      </w:r>
      <w:r>
        <w:t xml:space="preserve"> effettuazione della</w:t>
      </w:r>
      <w:r w:rsidR="008F0737">
        <w:t xml:space="preserve"> comunicazione</w:t>
      </w:r>
      <w:r>
        <w:t xml:space="preserve"> integrativa</w:t>
      </w:r>
      <w:r w:rsidR="008F0737">
        <w:t xml:space="preserve"> </w:t>
      </w:r>
      <w:r>
        <w:t>“</w:t>
      </w:r>
      <w:r w:rsidR="008F0737" w:rsidRPr="002969EE">
        <w:rPr>
          <w:i/>
        </w:rPr>
        <w:t>è assoggettata alla medesima sanzione</w:t>
      </w:r>
      <w:r>
        <w:rPr>
          <w:i/>
        </w:rPr>
        <w:t xml:space="preserve"> prevista per l’omissione della comunicazione di cui all’articolo 4</w:t>
      </w:r>
      <w:r>
        <w:t xml:space="preserve">-bis”. Tale sanzione </w:t>
      </w:r>
      <w:r w:rsidR="007C5E66">
        <w:t>è</w:t>
      </w:r>
      <w:r>
        <w:t xml:space="preserve"> individua</w:t>
      </w:r>
      <w:r w:rsidR="007C5E66">
        <w:t>bile</w:t>
      </w:r>
      <w:r>
        <w:t xml:space="preserve"> nella disposizione di cui all’art. 19, comma 3, del </w:t>
      </w:r>
      <w:proofErr w:type="spellStart"/>
      <w:r>
        <w:t>D.Lgs.</w:t>
      </w:r>
      <w:proofErr w:type="spellEnd"/>
      <w:r>
        <w:t xml:space="preserve"> n. 276/2003 che prevede </w:t>
      </w:r>
      <w:r w:rsidR="00A02D18">
        <w:t>una sanzione amministrativa pecuniaria da 100 a 500 euro per ogni lavoratore interessato.</w:t>
      </w:r>
    </w:p>
    <w:p w:rsidR="005C3B84" w:rsidRDefault="005C3B84" w:rsidP="00A02D18">
      <w:pPr>
        <w:contextualSpacing/>
      </w:pPr>
    </w:p>
    <w:p w:rsidR="009756BF" w:rsidRDefault="009756BF" w:rsidP="00A02D18">
      <w:pPr>
        <w:contextualSpacing/>
      </w:pPr>
    </w:p>
    <w:p w:rsidR="00FB2E6C" w:rsidRDefault="00FB2E6C" w:rsidP="00FB2E6C">
      <w:pPr>
        <w:pStyle w:val="Titolo1"/>
      </w:pPr>
      <w:bookmarkStart w:id="9" w:name="_Toc413232549"/>
      <w:r>
        <w:lastRenderedPageBreak/>
        <w:t>Piccole imprese e organizzazioni di tendenza (art. 9).</w:t>
      </w:r>
      <w:bookmarkEnd w:id="9"/>
    </w:p>
    <w:p w:rsidR="009A198A" w:rsidRDefault="00771974" w:rsidP="00A02D18">
      <w:pPr>
        <w:contextualSpacing/>
      </w:pPr>
      <w:r>
        <w:t>Come si è già evidenziato affrontando l’ambito di applicazione del contratto a tutele crescenti</w:t>
      </w:r>
      <w:r w:rsidR="00665005">
        <w:t>,</w:t>
      </w:r>
      <w:r w:rsidR="00E6310A">
        <w:t xml:space="preserve"> secondo quanto previsto dall’art. 9</w:t>
      </w:r>
      <w:r w:rsidR="00E6310A" w:rsidRPr="00E6310A">
        <w:t xml:space="preserve"> </w:t>
      </w:r>
      <w:r w:rsidR="00E6310A">
        <w:t xml:space="preserve">del D. </w:t>
      </w:r>
      <w:proofErr w:type="spellStart"/>
      <w:r w:rsidR="00E6310A">
        <w:t>Lgs</w:t>
      </w:r>
      <w:proofErr w:type="spellEnd"/>
      <w:r w:rsidR="00E6310A">
        <w:t>. n.</w:t>
      </w:r>
      <w:r w:rsidR="006E05E3" w:rsidRPr="006E05E3">
        <w:t xml:space="preserve"> </w:t>
      </w:r>
      <w:r w:rsidR="006E05E3">
        <w:t xml:space="preserve">23/2015 </w:t>
      </w:r>
      <w:r w:rsidR="004478EF">
        <w:t>la nuova disciplina</w:t>
      </w:r>
      <w:r w:rsidR="00E6310A">
        <w:t xml:space="preserve"> </w:t>
      </w:r>
      <w:r w:rsidR="00665005">
        <w:t xml:space="preserve"> trova applicazione per tutte le nuove assunzioni </w:t>
      </w:r>
      <w:r w:rsidR="00952171">
        <w:t xml:space="preserve">effettuate </w:t>
      </w:r>
      <w:r w:rsidR="004478EF">
        <w:t xml:space="preserve">anche </w:t>
      </w:r>
      <w:r w:rsidR="00952171">
        <w:t>da piccole imprese e dalle organizzazioni di tendenza.</w:t>
      </w:r>
    </w:p>
    <w:p w:rsidR="004478EF" w:rsidRDefault="004478EF" w:rsidP="00A02D18">
      <w:pPr>
        <w:contextualSpacing/>
      </w:pPr>
    </w:p>
    <w:p w:rsidR="00E6310A" w:rsidRDefault="00E6310A" w:rsidP="00A02D18">
      <w:pPr>
        <w:contextualSpacing/>
      </w:pPr>
      <w:r>
        <w:t>Per le organizzazioni di tendenza</w:t>
      </w:r>
      <w:r w:rsidR="00623B65">
        <w:t xml:space="preserve">, ovvero quei datori di lavoro che svolgono senza fine di lucro </w:t>
      </w:r>
      <w:r w:rsidR="00937EE4">
        <w:t>un’attività di natura politica, sindacale, culturale, di istruzione ovvero di religione o di culto,</w:t>
      </w:r>
      <w:r w:rsidR="001B17A3">
        <w:t xml:space="preserve"> la disciplina è abbastanza semplice</w:t>
      </w:r>
      <w:r w:rsidR="00937EE4">
        <w:t xml:space="preserve"> perché il legislatore </w:t>
      </w:r>
      <w:r w:rsidR="0016724F">
        <w:t xml:space="preserve">prevede </w:t>
      </w:r>
      <w:r w:rsidR="0016724F">
        <w:rPr>
          <w:i/>
        </w:rPr>
        <w:t>tout court</w:t>
      </w:r>
      <w:r w:rsidR="0016724F">
        <w:t xml:space="preserve"> l’applicazione del D. </w:t>
      </w:r>
      <w:proofErr w:type="spellStart"/>
      <w:r w:rsidR="0016724F">
        <w:t>Lgs</w:t>
      </w:r>
      <w:proofErr w:type="spellEnd"/>
      <w:r w:rsidR="0016724F">
        <w:t xml:space="preserve">. n. </w:t>
      </w:r>
      <w:r w:rsidR="00CD4CE0">
        <w:t>23/2015</w:t>
      </w:r>
      <w:r w:rsidR="00CB2053">
        <w:t>.</w:t>
      </w:r>
    </w:p>
    <w:p w:rsidR="00CB2053" w:rsidRDefault="00CB2053" w:rsidP="007A1652">
      <w:pPr>
        <w:contextualSpacing/>
      </w:pPr>
      <w:r>
        <w:t xml:space="preserve">Ciò determina anche per questa categoria </w:t>
      </w:r>
      <w:r w:rsidR="004478EF">
        <w:t xml:space="preserve">di datori </w:t>
      </w:r>
      <w:r>
        <w:t xml:space="preserve">l’applicazione della disciplina del contratto a tutele crescenti nel rispetto delle regole sull’ambito di applicazione </w:t>
      </w:r>
      <w:r w:rsidR="009C6067">
        <w:t>previste all’art. 1</w:t>
      </w:r>
      <w:r w:rsidR="000E4FB8">
        <w:t xml:space="preserve"> del</w:t>
      </w:r>
      <w:r w:rsidR="009C6067">
        <w:t xml:space="preserve"> D. </w:t>
      </w:r>
      <w:proofErr w:type="spellStart"/>
      <w:r w:rsidR="009C6067">
        <w:t>Lgs</w:t>
      </w:r>
      <w:proofErr w:type="spellEnd"/>
      <w:r w:rsidR="009C6067">
        <w:t>. n.</w:t>
      </w:r>
      <w:r w:rsidR="00CD4CE0">
        <w:t xml:space="preserve"> 23/2015</w:t>
      </w:r>
      <w:r w:rsidR="009C6067">
        <w:t>.</w:t>
      </w:r>
    </w:p>
    <w:p w:rsidR="00687FAE" w:rsidRDefault="00921338" w:rsidP="00687FAE">
      <w:pPr>
        <w:contextualSpacing/>
      </w:pPr>
      <w:r>
        <w:t>Più articolata</w:t>
      </w:r>
      <w:r w:rsidR="00AD3738">
        <w:t xml:space="preserve"> è, invece, la disciplina applicabile alle imprese che non soddisfano i requisiti dimensionali per l’applicazione dell’art. 18 della Legge </w:t>
      </w:r>
      <w:r w:rsidR="00083047">
        <w:t xml:space="preserve">n. 300/1970. </w:t>
      </w:r>
    </w:p>
    <w:p w:rsidR="00687FAE" w:rsidRDefault="00083047" w:rsidP="00454BA7">
      <w:r>
        <w:t xml:space="preserve">Per tali imprese </w:t>
      </w:r>
      <w:r w:rsidR="00687FAE">
        <w:t>sono, infatti, previste le seguenti regole speciali:</w:t>
      </w:r>
    </w:p>
    <w:p w:rsidR="00687FAE" w:rsidRPr="00ED31F9" w:rsidRDefault="00687FAE" w:rsidP="00687FAE">
      <w:pPr>
        <w:pStyle w:val="Paragrafoelenco"/>
        <w:numPr>
          <w:ilvl w:val="0"/>
          <w:numId w:val="11"/>
        </w:numPr>
        <w:ind w:left="284" w:hanging="284"/>
      </w:pPr>
      <w:r w:rsidRPr="00687FAE">
        <w:t xml:space="preserve">esclusione della reintegrazione </w:t>
      </w:r>
      <w:r w:rsidR="004478EF">
        <w:t xml:space="preserve">anche </w:t>
      </w:r>
      <w:r w:rsidRPr="00687FAE">
        <w:t>per il licenziamento disciplinare</w:t>
      </w:r>
      <w:r w:rsidR="004478EF">
        <w:t xml:space="preserve">, </w:t>
      </w:r>
      <w:r w:rsidR="004478EF" w:rsidRPr="00ED31F9">
        <w:t xml:space="preserve">ma </w:t>
      </w:r>
      <w:r w:rsidR="005C62CD" w:rsidRPr="00ED31F9">
        <w:t xml:space="preserve">la reintegrazione rimane </w:t>
      </w:r>
      <w:r w:rsidR="00631B04" w:rsidRPr="00ED31F9">
        <w:t xml:space="preserve">sia </w:t>
      </w:r>
      <w:r w:rsidR="005C62CD" w:rsidRPr="00ED31F9">
        <w:t>per il licenziamento</w:t>
      </w:r>
      <w:r w:rsidR="004478EF" w:rsidRPr="00ED31F9">
        <w:t xml:space="preserve"> discriminatorio</w:t>
      </w:r>
      <w:r w:rsidR="005C62CD" w:rsidRPr="00ED31F9">
        <w:t xml:space="preserve"> </w:t>
      </w:r>
      <w:r w:rsidR="00631B04" w:rsidRPr="00ED31F9">
        <w:t>ch</w:t>
      </w:r>
      <w:r w:rsidR="005C62CD" w:rsidRPr="00ED31F9">
        <w:t>e per le ipotesi legate alla disabilità</w:t>
      </w:r>
      <w:r w:rsidRPr="00ED31F9">
        <w:t>;</w:t>
      </w:r>
    </w:p>
    <w:p w:rsidR="00687FAE" w:rsidRPr="00687FAE" w:rsidRDefault="00687FAE" w:rsidP="00687FAE">
      <w:pPr>
        <w:pStyle w:val="Paragrafoelenco"/>
        <w:numPr>
          <w:ilvl w:val="0"/>
          <w:numId w:val="11"/>
        </w:numPr>
        <w:ind w:left="284" w:hanging="284"/>
      </w:pPr>
      <w:r w:rsidRPr="00687FAE">
        <w:t>la misura dell’indennità e degli importi sono dimezzati rispetto a quelli previsti dal decreto per la generalità delle imprese;</w:t>
      </w:r>
    </w:p>
    <w:p w:rsidR="00687FAE" w:rsidRDefault="00687FAE" w:rsidP="00687FAE">
      <w:pPr>
        <w:pStyle w:val="Paragrafoelenco"/>
        <w:numPr>
          <w:ilvl w:val="0"/>
          <w:numId w:val="11"/>
        </w:numPr>
        <w:ind w:left="284" w:hanging="284"/>
      </w:pPr>
      <w:r w:rsidRPr="00687FAE">
        <w:t>l’indennità non può, in ogni caso, superare le 6 mensilità.</w:t>
      </w:r>
    </w:p>
    <w:p w:rsidR="00687FAE" w:rsidRDefault="0080108A" w:rsidP="00687FAE">
      <w:r>
        <w:t>Di seguito uno schema di sintesi del quadro delle tutele previste per i lavoratori assunti con contratto a tutele crescenti in imprese che non hanno i requisiti dimensionali di cui all’art. 18, commi 8 e 9, della Legge n. 300/1970</w:t>
      </w:r>
      <w:r w:rsidR="007A1652">
        <w:t>:</w:t>
      </w:r>
    </w:p>
    <w:tbl>
      <w:tblPr>
        <w:tblStyle w:val="Grigliatabella"/>
        <w:tblW w:w="7899" w:type="dxa"/>
        <w:jc w:val="center"/>
        <w:tblInd w:w="1588" w:type="dxa"/>
        <w:tblLayout w:type="fixed"/>
        <w:tblLook w:val="04A0"/>
      </w:tblPr>
      <w:tblGrid>
        <w:gridCol w:w="1701"/>
        <w:gridCol w:w="2268"/>
        <w:gridCol w:w="1275"/>
        <w:gridCol w:w="1276"/>
        <w:gridCol w:w="1379"/>
      </w:tblGrid>
      <w:tr w:rsidR="00687FAE" w:rsidRPr="00D31131" w:rsidTr="007A1652">
        <w:trPr>
          <w:jc w:val="center"/>
        </w:trPr>
        <w:tc>
          <w:tcPr>
            <w:tcW w:w="1701"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b/>
                <w:sz w:val="22"/>
              </w:rPr>
            </w:pPr>
            <w:r w:rsidRPr="00D31131">
              <w:rPr>
                <w:rFonts w:asciiTheme="minorHAnsi" w:hAnsiTheme="minorHAnsi" w:cstheme="minorHAnsi"/>
                <w:b/>
                <w:sz w:val="22"/>
              </w:rPr>
              <w:t>Ipotesi</w:t>
            </w:r>
          </w:p>
        </w:tc>
        <w:tc>
          <w:tcPr>
            <w:tcW w:w="2268"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b/>
                <w:sz w:val="22"/>
              </w:rPr>
            </w:pPr>
            <w:r w:rsidRPr="00D31131">
              <w:rPr>
                <w:rFonts w:asciiTheme="minorHAnsi" w:hAnsiTheme="minorHAnsi" w:cstheme="minorHAnsi"/>
                <w:b/>
                <w:sz w:val="22"/>
              </w:rPr>
              <w:t>Tutela</w:t>
            </w:r>
          </w:p>
        </w:tc>
        <w:tc>
          <w:tcPr>
            <w:tcW w:w="1275"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b/>
                <w:sz w:val="22"/>
              </w:rPr>
            </w:pPr>
            <w:r w:rsidRPr="00D31131">
              <w:rPr>
                <w:rFonts w:asciiTheme="minorHAnsi" w:hAnsiTheme="minorHAnsi" w:cstheme="minorHAnsi"/>
                <w:b/>
                <w:sz w:val="22"/>
              </w:rPr>
              <w:t>Importo minimo</w:t>
            </w:r>
          </w:p>
        </w:tc>
        <w:tc>
          <w:tcPr>
            <w:tcW w:w="1276"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b/>
                <w:sz w:val="22"/>
              </w:rPr>
            </w:pPr>
            <w:r w:rsidRPr="00D31131">
              <w:rPr>
                <w:rFonts w:asciiTheme="minorHAnsi" w:hAnsiTheme="minorHAnsi" w:cstheme="minorHAnsi"/>
                <w:b/>
                <w:sz w:val="22"/>
              </w:rPr>
              <w:t>Importo massimo</w:t>
            </w:r>
          </w:p>
        </w:tc>
        <w:tc>
          <w:tcPr>
            <w:tcW w:w="1379"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b/>
                <w:sz w:val="22"/>
              </w:rPr>
            </w:pPr>
            <w:r w:rsidRPr="00D31131">
              <w:rPr>
                <w:rFonts w:asciiTheme="minorHAnsi" w:hAnsiTheme="minorHAnsi" w:cstheme="minorHAnsi"/>
                <w:b/>
                <w:sz w:val="22"/>
              </w:rPr>
              <w:t>Contribuzione previdenziale</w:t>
            </w:r>
          </w:p>
        </w:tc>
      </w:tr>
      <w:tr w:rsidR="00687FAE" w:rsidRPr="00D31131" w:rsidTr="007A1652">
        <w:trPr>
          <w:jc w:val="center"/>
        </w:trPr>
        <w:tc>
          <w:tcPr>
            <w:tcW w:w="1701"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b/>
                <w:sz w:val="22"/>
              </w:rPr>
            </w:pPr>
            <w:r w:rsidRPr="00D31131">
              <w:rPr>
                <w:rFonts w:asciiTheme="minorHAnsi" w:hAnsiTheme="minorHAnsi" w:cstheme="minorHAnsi"/>
                <w:b/>
                <w:sz w:val="22"/>
              </w:rPr>
              <w:t>Licenziamento illegittimo</w:t>
            </w:r>
          </w:p>
          <w:p w:rsidR="00687FAE" w:rsidRPr="00D31131" w:rsidRDefault="00687FAE" w:rsidP="0076490F">
            <w:pPr>
              <w:spacing w:line="204" w:lineRule="auto"/>
              <w:jc w:val="center"/>
              <w:rPr>
                <w:rFonts w:asciiTheme="minorHAnsi" w:hAnsiTheme="minorHAnsi" w:cstheme="minorHAnsi"/>
                <w:b/>
                <w:sz w:val="22"/>
              </w:rPr>
            </w:pPr>
            <w:r w:rsidRPr="00D31131">
              <w:rPr>
                <w:rFonts w:asciiTheme="minorHAnsi" w:hAnsiTheme="minorHAnsi" w:cstheme="minorHAnsi"/>
                <w:b/>
                <w:sz w:val="22"/>
              </w:rPr>
              <w:t>(regime generale)</w:t>
            </w:r>
          </w:p>
        </w:tc>
        <w:tc>
          <w:tcPr>
            <w:tcW w:w="2268" w:type="dxa"/>
            <w:tcMar>
              <w:left w:w="28" w:type="dxa"/>
              <w:right w:w="28" w:type="dxa"/>
            </w:tcMar>
          </w:tcPr>
          <w:p w:rsidR="00687FAE" w:rsidRPr="00D31131" w:rsidRDefault="00687FAE" w:rsidP="0076490F">
            <w:pPr>
              <w:spacing w:line="204" w:lineRule="auto"/>
              <w:jc w:val="center"/>
              <w:rPr>
                <w:rFonts w:asciiTheme="minorHAnsi" w:hAnsiTheme="minorHAnsi" w:cstheme="minorHAnsi"/>
                <w:sz w:val="22"/>
                <w:u w:val="single"/>
              </w:rPr>
            </w:pPr>
            <w:r w:rsidRPr="00D31131">
              <w:rPr>
                <w:rFonts w:asciiTheme="minorHAnsi" w:hAnsiTheme="minorHAnsi" w:cstheme="minorHAnsi"/>
                <w:sz w:val="22"/>
                <w:u w:val="single"/>
              </w:rPr>
              <w:t>Indennità</w:t>
            </w:r>
          </w:p>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(1 mensilità di retribuzione per ogni anno di anzianità di servizio)</w:t>
            </w:r>
          </w:p>
        </w:tc>
        <w:tc>
          <w:tcPr>
            <w:tcW w:w="1275"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2 mensilità</w:t>
            </w:r>
          </w:p>
        </w:tc>
        <w:tc>
          <w:tcPr>
            <w:tcW w:w="1276"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6 mensilità</w:t>
            </w:r>
          </w:p>
        </w:tc>
        <w:tc>
          <w:tcPr>
            <w:tcW w:w="1379"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Non dovuta</w:t>
            </w:r>
          </w:p>
        </w:tc>
      </w:tr>
      <w:tr w:rsidR="00687FAE" w:rsidRPr="00D31131" w:rsidTr="007A1652">
        <w:trPr>
          <w:jc w:val="center"/>
        </w:trPr>
        <w:tc>
          <w:tcPr>
            <w:tcW w:w="1701"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b/>
                <w:sz w:val="22"/>
              </w:rPr>
            </w:pPr>
            <w:r w:rsidRPr="00D31131">
              <w:rPr>
                <w:rFonts w:asciiTheme="minorHAnsi" w:hAnsiTheme="minorHAnsi" w:cstheme="minorHAnsi"/>
                <w:b/>
                <w:sz w:val="22"/>
              </w:rPr>
              <w:t>Licenziamento discriminatorio, nullo o orale</w:t>
            </w:r>
          </w:p>
        </w:tc>
        <w:tc>
          <w:tcPr>
            <w:tcW w:w="2268" w:type="dxa"/>
            <w:tcMar>
              <w:left w:w="28" w:type="dxa"/>
              <w:right w:w="28" w:type="dxa"/>
            </w:tcMar>
            <w:vAlign w:val="center"/>
          </w:tcPr>
          <w:p w:rsidR="00687FAE" w:rsidRPr="00880FF1" w:rsidRDefault="00687FAE" w:rsidP="0076490F">
            <w:pPr>
              <w:spacing w:line="204" w:lineRule="auto"/>
              <w:jc w:val="center"/>
              <w:rPr>
                <w:rFonts w:asciiTheme="minorHAnsi" w:hAnsiTheme="minorHAnsi" w:cstheme="minorHAnsi"/>
                <w:sz w:val="22"/>
                <w:u w:val="single"/>
                <w:vertAlign w:val="superscript"/>
              </w:rPr>
            </w:pPr>
            <w:r w:rsidRPr="00D31131">
              <w:rPr>
                <w:rFonts w:asciiTheme="minorHAnsi" w:hAnsiTheme="minorHAnsi" w:cstheme="minorHAnsi"/>
                <w:sz w:val="22"/>
                <w:u w:val="single"/>
              </w:rPr>
              <w:t>Reintegrazione</w:t>
            </w:r>
            <w:r>
              <w:rPr>
                <w:rFonts w:asciiTheme="minorHAnsi" w:hAnsiTheme="minorHAnsi" w:cstheme="minorHAnsi"/>
                <w:sz w:val="22"/>
                <w:u w:val="single"/>
                <w:vertAlign w:val="superscript"/>
              </w:rPr>
              <w:t>1</w:t>
            </w:r>
          </w:p>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(con indennità pari alle retribuzioni dovute dal momento del licenziamento a quello dell’effettiva reintegrazione)</w:t>
            </w:r>
          </w:p>
        </w:tc>
        <w:tc>
          <w:tcPr>
            <w:tcW w:w="1275"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5 mensilità</w:t>
            </w:r>
          </w:p>
        </w:tc>
        <w:tc>
          <w:tcPr>
            <w:tcW w:w="1276"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Non determinato</w:t>
            </w:r>
          </w:p>
        </w:tc>
        <w:tc>
          <w:tcPr>
            <w:tcW w:w="1379"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Dovuta</w:t>
            </w:r>
          </w:p>
        </w:tc>
      </w:tr>
      <w:tr w:rsidR="00687FAE" w:rsidRPr="00D31131" w:rsidTr="007A1652">
        <w:trPr>
          <w:jc w:val="center"/>
        </w:trPr>
        <w:tc>
          <w:tcPr>
            <w:tcW w:w="1701"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b/>
                <w:sz w:val="22"/>
              </w:rPr>
            </w:pPr>
            <w:r w:rsidRPr="00D31131">
              <w:rPr>
                <w:rFonts w:asciiTheme="minorHAnsi" w:hAnsiTheme="minorHAnsi" w:cstheme="minorHAnsi"/>
                <w:b/>
                <w:sz w:val="22"/>
              </w:rPr>
              <w:t>Vizi formali e procedurali</w:t>
            </w:r>
          </w:p>
        </w:tc>
        <w:tc>
          <w:tcPr>
            <w:tcW w:w="2268" w:type="dxa"/>
            <w:tcMar>
              <w:left w:w="28" w:type="dxa"/>
              <w:right w:w="28" w:type="dxa"/>
            </w:tcMar>
          </w:tcPr>
          <w:p w:rsidR="00687FAE" w:rsidRPr="00D31131" w:rsidRDefault="00687FAE" w:rsidP="0076490F">
            <w:pPr>
              <w:spacing w:line="204" w:lineRule="auto"/>
              <w:jc w:val="center"/>
              <w:rPr>
                <w:rFonts w:asciiTheme="minorHAnsi" w:hAnsiTheme="minorHAnsi" w:cstheme="minorHAnsi"/>
                <w:sz w:val="22"/>
                <w:u w:val="single"/>
              </w:rPr>
            </w:pPr>
            <w:r w:rsidRPr="00D31131">
              <w:rPr>
                <w:rFonts w:asciiTheme="minorHAnsi" w:hAnsiTheme="minorHAnsi" w:cstheme="minorHAnsi"/>
                <w:sz w:val="22"/>
                <w:u w:val="single"/>
              </w:rPr>
              <w:t>Indennità</w:t>
            </w:r>
          </w:p>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(0,5 mensilità di retribuzione per ogni anno di anzianità di servizio)</w:t>
            </w:r>
          </w:p>
        </w:tc>
        <w:tc>
          <w:tcPr>
            <w:tcW w:w="1275"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1 mensilità</w:t>
            </w:r>
          </w:p>
        </w:tc>
        <w:tc>
          <w:tcPr>
            <w:tcW w:w="1276"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6 mensilità</w:t>
            </w:r>
          </w:p>
        </w:tc>
        <w:tc>
          <w:tcPr>
            <w:tcW w:w="1379" w:type="dxa"/>
            <w:tcMar>
              <w:left w:w="28" w:type="dxa"/>
              <w:right w:w="28" w:type="dxa"/>
            </w:tcMar>
            <w:vAlign w:val="center"/>
          </w:tcPr>
          <w:p w:rsidR="00687FAE" w:rsidRPr="00D31131" w:rsidRDefault="00687FAE" w:rsidP="0076490F">
            <w:pPr>
              <w:spacing w:line="204" w:lineRule="auto"/>
              <w:jc w:val="center"/>
              <w:rPr>
                <w:rFonts w:asciiTheme="minorHAnsi" w:hAnsiTheme="minorHAnsi" w:cstheme="minorHAnsi"/>
                <w:sz w:val="22"/>
              </w:rPr>
            </w:pPr>
            <w:r w:rsidRPr="00D31131">
              <w:rPr>
                <w:rFonts w:asciiTheme="minorHAnsi" w:hAnsiTheme="minorHAnsi" w:cstheme="minorHAnsi"/>
                <w:sz w:val="22"/>
              </w:rPr>
              <w:t>Non dovuta</w:t>
            </w:r>
          </w:p>
        </w:tc>
      </w:tr>
      <w:tr w:rsidR="00687FAE" w:rsidRPr="00D31131" w:rsidTr="007A1652">
        <w:trPr>
          <w:jc w:val="center"/>
        </w:trPr>
        <w:tc>
          <w:tcPr>
            <w:tcW w:w="7899" w:type="dxa"/>
            <w:gridSpan w:val="5"/>
            <w:tcMar>
              <w:left w:w="28" w:type="dxa"/>
              <w:right w:w="28" w:type="dxa"/>
            </w:tcMar>
            <w:vAlign w:val="center"/>
          </w:tcPr>
          <w:p w:rsidR="00687FAE" w:rsidRPr="00880FF1" w:rsidRDefault="00687FAE" w:rsidP="0076490F">
            <w:pPr>
              <w:pStyle w:val="Testonotaapidipagina"/>
            </w:pPr>
            <w:r w:rsidRPr="00880FF1">
              <w:t>1)</w:t>
            </w:r>
            <w:r>
              <w:t xml:space="preserve"> In sostituzione della reintegrazione il lavoratore può chiedere il pagamento di un’indennità pari a 15 mensilità di retribuzione non assoggettata a contribuzione. Quest’ultima indennità si aggiunge a quella dovuta per il periodo compreso tra il momento del licenziamento a quello dell’effettiva reintegrazione.</w:t>
            </w:r>
          </w:p>
        </w:tc>
      </w:tr>
    </w:tbl>
    <w:p w:rsidR="00454BA7" w:rsidRDefault="00454BA7" w:rsidP="00A02D18">
      <w:pPr>
        <w:contextualSpacing/>
      </w:pPr>
    </w:p>
    <w:p w:rsidR="00F13A5F" w:rsidRDefault="00F13A5F" w:rsidP="00F13A5F">
      <w:pPr>
        <w:pStyle w:val="Titolo1"/>
      </w:pPr>
      <w:bookmarkStart w:id="10" w:name="_Toc413232550"/>
      <w:r>
        <w:t>Rito applicabile (art. 11).</w:t>
      </w:r>
      <w:bookmarkEnd w:id="10"/>
    </w:p>
    <w:p w:rsidR="00C40F23" w:rsidRDefault="004E7FA4" w:rsidP="00D91D97">
      <w:r>
        <w:t xml:space="preserve">Interessante è anche la disposizione che esclude l’applicazione del cd. rito </w:t>
      </w:r>
      <w:proofErr w:type="spellStart"/>
      <w:r>
        <w:t>Fornero</w:t>
      </w:r>
      <w:proofErr w:type="spellEnd"/>
      <w:r>
        <w:t xml:space="preserve"> (art. 1, commi 48 – 68, della Legge n. 92/2012)</w:t>
      </w:r>
      <w:r w:rsidR="00746E1D">
        <w:t xml:space="preserve"> per le </w:t>
      </w:r>
      <w:r w:rsidR="00C40F23" w:rsidRPr="00C40F23">
        <w:t>controversie aventi ad oggetto l'impugnativa dei licenziamenti</w:t>
      </w:r>
      <w:r w:rsidR="00C40F23">
        <w:t xml:space="preserve"> nei casi in cui trova applicazione il D. </w:t>
      </w:r>
      <w:proofErr w:type="spellStart"/>
      <w:r w:rsidR="00C40F23">
        <w:t>Lgs</w:t>
      </w:r>
      <w:proofErr w:type="spellEnd"/>
      <w:r w:rsidR="00C40F23">
        <w:t xml:space="preserve">. n. </w:t>
      </w:r>
      <w:r w:rsidR="00491EE2">
        <w:t>23/2015</w:t>
      </w:r>
      <w:r w:rsidR="00C40F23">
        <w:t>.</w:t>
      </w:r>
    </w:p>
    <w:p w:rsidR="00C40F23" w:rsidRPr="0016724F" w:rsidRDefault="00D91D97" w:rsidP="00D91D97">
      <w:r>
        <w:t xml:space="preserve">Tale disciplina processuale, sebbene introdotta con l’obiettivo di dare tempi certi ai procedimenti relativi all’impugnazione del licenziamento, </w:t>
      </w:r>
      <w:r w:rsidR="00E04164">
        <w:t>ha finito solo per aumentare il numero dei gradi di giudizio.</w:t>
      </w:r>
    </w:p>
    <w:sectPr w:rsidR="00C40F23" w:rsidRPr="0016724F" w:rsidSect="00111CCC">
      <w:footerReference w:type="default" r:id="rId8"/>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5C35" w:rsidRDefault="00855C35" w:rsidP="005B70A0">
      <w:pPr>
        <w:spacing w:after="0" w:line="240" w:lineRule="auto"/>
      </w:pPr>
      <w:r>
        <w:separator/>
      </w:r>
    </w:p>
  </w:endnote>
  <w:endnote w:type="continuationSeparator" w:id="0">
    <w:p w:rsidR="00855C35" w:rsidRDefault="00855C35" w:rsidP="005B70A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77394"/>
      <w:docPartObj>
        <w:docPartGallery w:val="Page Numbers (Bottom of Page)"/>
        <w:docPartUnique/>
      </w:docPartObj>
    </w:sdtPr>
    <w:sdtContent>
      <w:p w:rsidR="000E494E" w:rsidRDefault="000E494E">
        <w:pPr>
          <w:pStyle w:val="Pidipagina"/>
          <w:jc w:val="center"/>
        </w:pPr>
        <w:fldSimple w:instr=" PAGE   \* MERGEFORMAT ">
          <w:r w:rsidR="002A4568">
            <w:rPr>
              <w:noProof/>
            </w:rPr>
            <w:t>2</w:t>
          </w:r>
        </w:fldSimple>
      </w:p>
    </w:sdtContent>
  </w:sdt>
  <w:p w:rsidR="000E494E" w:rsidRDefault="000E494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5C35" w:rsidRDefault="00855C35" w:rsidP="005B70A0">
      <w:pPr>
        <w:spacing w:after="0" w:line="240" w:lineRule="auto"/>
      </w:pPr>
      <w:r>
        <w:separator/>
      </w:r>
    </w:p>
  </w:footnote>
  <w:footnote w:type="continuationSeparator" w:id="0">
    <w:p w:rsidR="00855C35" w:rsidRDefault="00855C35" w:rsidP="005B70A0">
      <w:pPr>
        <w:spacing w:after="0" w:line="240" w:lineRule="auto"/>
      </w:pPr>
      <w:r>
        <w:continuationSeparator/>
      </w:r>
    </w:p>
  </w:footnote>
  <w:footnote w:id="1">
    <w:p w:rsidR="000E494E" w:rsidRDefault="000E494E">
      <w:pPr>
        <w:pStyle w:val="Testonotaapidipagina"/>
      </w:pPr>
      <w:r>
        <w:rPr>
          <w:rStyle w:val="Rimandonotaapidipagina"/>
        </w:rPr>
        <w:footnoteRef/>
      </w:r>
      <w:r>
        <w:t xml:space="preserve"> Non solo perché il contratto di apprendistato è un rapporto di lavoro a tempo indeterminato, come espressamente previsto dall’art. 1 del D. </w:t>
      </w:r>
      <w:proofErr w:type="spellStart"/>
      <w:r>
        <w:t>Lgs</w:t>
      </w:r>
      <w:proofErr w:type="spellEnd"/>
      <w:r>
        <w:t xml:space="preserve">. n. 167/2011, ma anche in base ai principi affermati dalla Corte Costituzionale con la sentenza </w:t>
      </w:r>
      <w:r w:rsidRPr="00D300F5">
        <w:t>22 novembre 1973</w:t>
      </w:r>
      <w:r>
        <w:t>, n</w:t>
      </w:r>
      <w:r w:rsidRPr="00D300F5">
        <w:t>. 169</w:t>
      </w:r>
      <w:r>
        <w:t>.</w:t>
      </w:r>
    </w:p>
    <w:p w:rsidR="000E494E" w:rsidRDefault="000E494E">
      <w:pPr>
        <w:pStyle w:val="Testonotaapidipagina"/>
      </w:pPr>
    </w:p>
  </w:footnote>
  <w:footnote w:id="2">
    <w:p w:rsidR="000E494E" w:rsidRPr="00974FAA" w:rsidRDefault="000E494E">
      <w:pPr>
        <w:pStyle w:val="Testonotaapidipagina"/>
      </w:pPr>
      <w:r>
        <w:rPr>
          <w:rStyle w:val="Rimandonotaapidipagina"/>
        </w:rPr>
        <w:footnoteRef/>
      </w:r>
      <w:r>
        <w:t xml:space="preserve"> Si ricorda che a conclusioni diverse si può giungere in caso di trasferimento di azienda in crisi ai sensi dell’art. 47, comma 4-</w:t>
      </w:r>
      <w:r>
        <w:rPr>
          <w:i/>
        </w:rPr>
        <w:t>bis</w:t>
      </w:r>
      <w:r>
        <w:t xml:space="preserve">, del D. </w:t>
      </w:r>
      <w:proofErr w:type="spellStart"/>
      <w:r>
        <w:t>Lgs</w:t>
      </w:r>
      <w:proofErr w:type="spellEnd"/>
      <w:r>
        <w:t>. n. 428/1990. Tra le potenzialità dell’accordo sindacale in deroga agli effetti legali dell’art. 2112 c.c. vi è, infatti, quello di disporre dell’anzianità aziendale dei lavoratori interessati dal trasferimento (cfr. News Confindustria 23 marzo 2010).</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1051C8"/>
    <w:multiLevelType w:val="hybridMultilevel"/>
    <w:tmpl w:val="3DD817C4"/>
    <w:lvl w:ilvl="0" w:tplc="D748A16C">
      <w:start w:val="1"/>
      <w:numFmt w:val="decimal"/>
      <w:pStyle w:val="Titolo1"/>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5C79BD"/>
    <w:multiLevelType w:val="hybridMultilevel"/>
    <w:tmpl w:val="47F26524"/>
    <w:lvl w:ilvl="0" w:tplc="DA860A60">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35873B48"/>
    <w:multiLevelType w:val="hybridMultilevel"/>
    <w:tmpl w:val="E33E5AE2"/>
    <w:lvl w:ilvl="0" w:tplc="04100001">
      <w:start w:val="1"/>
      <w:numFmt w:val="bullet"/>
      <w:lvlText w:val=""/>
      <w:lvlJc w:val="left"/>
      <w:pPr>
        <w:ind w:left="-217" w:hanging="360"/>
      </w:pPr>
      <w:rPr>
        <w:rFonts w:ascii="Symbol" w:hAnsi="Symbol" w:hint="default"/>
      </w:rPr>
    </w:lvl>
    <w:lvl w:ilvl="1" w:tplc="04100003" w:tentative="1">
      <w:start w:val="1"/>
      <w:numFmt w:val="bullet"/>
      <w:lvlText w:val="o"/>
      <w:lvlJc w:val="left"/>
      <w:pPr>
        <w:ind w:left="503" w:hanging="360"/>
      </w:pPr>
      <w:rPr>
        <w:rFonts w:ascii="Courier New" w:hAnsi="Courier New" w:cs="Courier New" w:hint="default"/>
      </w:rPr>
    </w:lvl>
    <w:lvl w:ilvl="2" w:tplc="04100005" w:tentative="1">
      <w:start w:val="1"/>
      <w:numFmt w:val="bullet"/>
      <w:lvlText w:val=""/>
      <w:lvlJc w:val="left"/>
      <w:pPr>
        <w:ind w:left="1223" w:hanging="360"/>
      </w:pPr>
      <w:rPr>
        <w:rFonts w:ascii="Wingdings" w:hAnsi="Wingdings" w:hint="default"/>
      </w:rPr>
    </w:lvl>
    <w:lvl w:ilvl="3" w:tplc="04100001" w:tentative="1">
      <w:start w:val="1"/>
      <w:numFmt w:val="bullet"/>
      <w:lvlText w:val=""/>
      <w:lvlJc w:val="left"/>
      <w:pPr>
        <w:ind w:left="1943" w:hanging="360"/>
      </w:pPr>
      <w:rPr>
        <w:rFonts w:ascii="Symbol" w:hAnsi="Symbol" w:hint="default"/>
      </w:rPr>
    </w:lvl>
    <w:lvl w:ilvl="4" w:tplc="04100003" w:tentative="1">
      <w:start w:val="1"/>
      <w:numFmt w:val="bullet"/>
      <w:lvlText w:val="o"/>
      <w:lvlJc w:val="left"/>
      <w:pPr>
        <w:ind w:left="2663" w:hanging="360"/>
      </w:pPr>
      <w:rPr>
        <w:rFonts w:ascii="Courier New" w:hAnsi="Courier New" w:cs="Courier New" w:hint="default"/>
      </w:rPr>
    </w:lvl>
    <w:lvl w:ilvl="5" w:tplc="04100005" w:tentative="1">
      <w:start w:val="1"/>
      <w:numFmt w:val="bullet"/>
      <w:lvlText w:val=""/>
      <w:lvlJc w:val="left"/>
      <w:pPr>
        <w:ind w:left="3383" w:hanging="360"/>
      </w:pPr>
      <w:rPr>
        <w:rFonts w:ascii="Wingdings" w:hAnsi="Wingdings" w:hint="default"/>
      </w:rPr>
    </w:lvl>
    <w:lvl w:ilvl="6" w:tplc="04100001" w:tentative="1">
      <w:start w:val="1"/>
      <w:numFmt w:val="bullet"/>
      <w:lvlText w:val=""/>
      <w:lvlJc w:val="left"/>
      <w:pPr>
        <w:ind w:left="4103" w:hanging="360"/>
      </w:pPr>
      <w:rPr>
        <w:rFonts w:ascii="Symbol" w:hAnsi="Symbol" w:hint="default"/>
      </w:rPr>
    </w:lvl>
    <w:lvl w:ilvl="7" w:tplc="04100003" w:tentative="1">
      <w:start w:val="1"/>
      <w:numFmt w:val="bullet"/>
      <w:lvlText w:val="o"/>
      <w:lvlJc w:val="left"/>
      <w:pPr>
        <w:ind w:left="4823" w:hanging="360"/>
      </w:pPr>
      <w:rPr>
        <w:rFonts w:ascii="Courier New" w:hAnsi="Courier New" w:cs="Courier New" w:hint="default"/>
      </w:rPr>
    </w:lvl>
    <w:lvl w:ilvl="8" w:tplc="04100005" w:tentative="1">
      <w:start w:val="1"/>
      <w:numFmt w:val="bullet"/>
      <w:lvlText w:val=""/>
      <w:lvlJc w:val="left"/>
      <w:pPr>
        <w:ind w:left="5543" w:hanging="360"/>
      </w:pPr>
      <w:rPr>
        <w:rFonts w:ascii="Wingdings" w:hAnsi="Wingdings" w:hint="default"/>
      </w:rPr>
    </w:lvl>
  </w:abstractNum>
  <w:abstractNum w:abstractNumId="3">
    <w:nsid w:val="4BE674C9"/>
    <w:multiLevelType w:val="hybridMultilevel"/>
    <w:tmpl w:val="998CF954"/>
    <w:lvl w:ilvl="0" w:tplc="B20A9C4E">
      <w:start w:val="1"/>
      <w:numFmt w:val="decimal"/>
      <w:pStyle w:val="Titolo2"/>
      <w:lvlText w:val="2.%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D8939BC"/>
    <w:multiLevelType w:val="hybridMultilevel"/>
    <w:tmpl w:val="36780E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50004437"/>
    <w:multiLevelType w:val="hybridMultilevel"/>
    <w:tmpl w:val="6DFCC1A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708E57EA"/>
    <w:multiLevelType w:val="hybridMultilevel"/>
    <w:tmpl w:val="C4AA5F4C"/>
    <w:lvl w:ilvl="0" w:tplc="04100005">
      <w:start w:val="1"/>
      <w:numFmt w:val="bullet"/>
      <w:lvlText w:val=""/>
      <w:lvlJc w:val="left"/>
      <w:pPr>
        <w:ind w:left="-577" w:hanging="360"/>
      </w:pPr>
      <w:rPr>
        <w:rFonts w:ascii="Wingdings" w:hAnsi="Wingdings" w:hint="default"/>
      </w:rPr>
    </w:lvl>
    <w:lvl w:ilvl="1" w:tplc="04100003" w:tentative="1">
      <w:start w:val="1"/>
      <w:numFmt w:val="bullet"/>
      <w:lvlText w:val="o"/>
      <w:lvlJc w:val="left"/>
      <w:pPr>
        <w:ind w:left="143" w:hanging="360"/>
      </w:pPr>
      <w:rPr>
        <w:rFonts w:ascii="Courier New" w:hAnsi="Courier New" w:cs="Courier New" w:hint="default"/>
      </w:rPr>
    </w:lvl>
    <w:lvl w:ilvl="2" w:tplc="04100005" w:tentative="1">
      <w:start w:val="1"/>
      <w:numFmt w:val="bullet"/>
      <w:lvlText w:val=""/>
      <w:lvlJc w:val="left"/>
      <w:pPr>
        <w:ind w:left="863" w:hanging="360"/>
      </w:pPr>
      <w:rPr>
        <w:rFonts w:ascii="Wingdings" w:hAnsi="Wingdings" w:hint="default"/>
      </w:rPr>
    </w:lvl>
    <w:lvl w:ilvl="3" w:tplc="04100001" w:tentative="1">
      <w:start w:val="1"/>
      <w:numFmt w:val="bullet"/>
      <w:lvlText w:val=""/>
      <w:lvlJc w:val="left"/>
      <w:pPr>
        <w:ind w:left="1583" w:hanging="360"/>
      </w:pPr>
      <w:rPr>
        <w:rFonts w:ascii="Symbol" w:hAnsi="Symbol" w:hint="default"/>
      </w:rPr>
    </w:lvl>
    <w:lvl w:ilvl="4" w:tplc="04100003" w:tentative="1">
      <w:start w:val="1"/>
      <w:numFmt w:val="bullet"/>
      <w:lvlText w:val="o"/>
      <w:lvlJc w:val="left"/>
      <w:pPr>
        <w:ind w:left="2303" w:hanging="360"/>
      </w:pPr>
      <w:rPr>
        <w:rFonts w:ascii="Courier New" w:hAnsi="Courier New" w:cs="Courier New" w:hint="default"/>
      </w:rPr>
    </w:lvl>
    <w:lvl w:ilvl="5" w:tplc="04100005" w:tentative="1">
      <w:start w:val="1"/>
      <w:numFmt w:val="bullet"/>
      <w:lvlText w:val=""/>
      <w:lvlJc w:val="left"/>
      <w:pPr>
        <w:ind w:left="3023" w:hanging="360"/>
      </w:pPr>
      <w:rPr>
        <w:rFonts w:ascii="Wingdings" w:hAnsi="Wingdings" w:hint="default"/>
      </w:rPr>
    </w:lvl>
    <w:lvl w:ilvl="6" w:tplc="04100001" w:tentative="1">
      <w:start w:val="1"/>
      <w:numFmt w:val="bullet"/>
      <w:lvlText w:val=""/>
      <w:lvlJc w:val="left"/>
      <w:pPr>
        <w:ind w:left="3743" w:hanging="360"/>
      </w:pPr>
      <w:rPr>
        <w:rFonts w:ascii="Symbol" w:hAnsi="Symbol" w:hint="default"/>
      </w:rPr>
    </w:lvl>
    <w:lvl w:ilvl="7" w:tplc="04100003" w:tentative="1">
      <w:start w:val="1"/>
      <w:numFmt w:val="bullet"/>
      <w:lvlText w:val="o"/>
      <w:lvlJc w:val="left"/>
      <w:pPr>
        <w:ind w:left="4463" w:hanging="360"/>
      </w:pPr>
      <w:rPr>
        <w:rFonts w:ascii="Courier New" w:hAnsi="Courier New" w:cs="Courier New" w:hint="default"/>
      </w:rPr>
    </w:lvl>
    <w:lvl w:ilvl="8" w:tplc="04100005" w:tentative="1">
      <w:start w:val="1"/>
      <w:numFmt w:val="bullet"/>
      <w:lvlText w:val=""/>
      <w:lvlJc w:val="left"/>
      <w:pPr>
        <w:ind w:left="5183" w:hanging="360"/>
      </w:pPr>
      <w:rPr>
        <w:rFonts w:ascii="Wingdings" w:hAnsi="Wingdings" w:hint="default"/>
      </w:rPr>
    </w:lvl>
  </w:abstractNum>
  <w:abstractNum w:abstractNumId="7">
    <w:nsid w:val="771D52D6"/>
    <w:multiLevelType w:val="hybridMultilevel"/>
    <w:tmpl w:val="43660B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 w:numId="3">
    <w:abstractNumId w:val="4"/>
  </w:num>
  <w:num w:numId="4">
    <w:abstractNumId w:val="5"/>
  </w:num>
  <w:num w:numId="5">
    <w:abstractNumId w:val="0"/>
    <w:lvlOverride w:ilvl="0">
      <w:startOverride w:val="1"/>
    </w:lvlOverride>
  </w:num>
  <w:num w:numId="6">
    <w:abstractNumId w:val="0"/>
    <w:lvlOverride w:ilvl="0">
      <w:startOverride w:val="1"/>
    </w:lvlOverride>
  </w:num>
  <w:num w:numId="7">
    <w:abstractNumId w:val="3"/>
  </w:num>
  <w:num w:numId="8">
    <w:abstractNumId w:val="7"/>
  </w:num>
  <w:num w:numId="9">
    <w:abstractNumId w:val="0"/>
    <w:lvlOverride w:ilvl="0">
      <w:startOverride w:val="1"/>
    </w:lvlOverride>
  </w:num>
  <w:num w:numId="10">
    <w:abstractNumId w:val="6"/>
  </w:num>
  <w:num w:numId="11">
    <w:abstractNumId w:val="2"/>
  </w:num>
  <w:num w:numId="12">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8"/>
  <w:hyphenationZone w:val="283"/>
  <w:characterSpacingControl w:val="doNotCompress"/>
  <w:footnotePr>
    <w:footnote w:id="-1"/>
    <w:footnote w:id="0"/>
  </w:footnotePr>
  <w:endnotePr>
    <w:endnote w:id="-1"/>
    <w:endnote w:id="0"/>
  </w:endnotePr>
  <w:compat/>
  <w:rsids>
    <w:rsidRoot w:val="001F4526"/>
    <w:rsid w:val="000003A2"/>
    <w:rsid w:val="000016ED"/>
    <w:rsid w:val="00001E75"/>
    <w:rsid w:val="00002700"/>
    <w:rsid w:val="0000311F"/>
    <w:rsid w:val="00003404"/>
    <w:rsid w:val="0000429C"/>
    <w:rsid w:val="0000514A"/>
    <w:rsid w:val="000057D4"/>
    <w:rsid w:val="000063B9"/>
    <w:rsid w:val="000066A5"/>
    <w:rsid w:val="000066EC"/>
    <w:rsid w:val="0000744A"/>
    <w:rsid w:val="00007842"/>
    <w:rsid w:val="00007DC1"/>
    <w:rsid w:val="0001089E"/>
    <w:rsid w:val="0001275A"/>
    <w:rsid w:val="000127BF"/>
    <w:rsid w:val="00012ADF"/>
    <w:rsid w:val="0001368F"/>
    <w:rsid w:val="00014024"/>
    <w:rsid w:val="00014116"/>
    <w:rsid w:val="000152F4"/>
    <w:rsid w:val="00015460"/>
    <w:rsid w:val="000172F6"/>
    <w:rsid w:val="000201C7"/>
    <w:rsid w:val="00020747"/>
    <w:rsid w:val="00020969"/>
    <w:rsid w:val="00021D78"/>
    <w:rsid w:val="00023E70"/>
    <w:rsid w:val="00023E84"/>
    <w:rsid w:val="00023EA6"/>
    <w:rsid w:val="00024A82"/>
    <w:rsid w:val="00024B73"/>
    <w:rsid w:val="000253AC"/>
    <w:rsid w:val="00025E09"/>
    <w:rsid w:val="00025E66"/>
    <w:rsid w:val="00026A87"/>
    <w:rsid w:val="00027941"/>
    <w:rsid w:val="00027D13"/>
    <w:rsid w:val="00027E22"/>
    <w:rsid w:val="00030576"/>
    <w:rsid w:val="00030BAC"/>
    <w:rsid w:val="0003284E"/>
    <w:rsid w:val="00033A75"/>
    <w:rsid w:val="000341D1"/>
    <w:rsid w:val="000346A2"/>
    <w:rsid w:val="000350C2"/>
    <w:rsid w:val="00035DF7"/>
    <w:rsid w:val="00036593"/>
    <w:rsid w:val="00036C1B"/>
    <w:rsid w:val="00037107"/>
    <w:rsid w:val="0003748B"/>
    <w:rsid w:val="000378FD"/>
    <w:rsid w:val="0003791C"/>
    <w:rsid w:val="00040649"/>
    <w:rsid w:val="00040F50"/>
    <w:rsid w:val="00041C54"/>
    <w:rsid w:val="00041EAE"/>
    <w:rsid w:val="00043120"/>
    <w:rsid w:val="0004368F"/>
    <w:rsid w:val="00043E30"/>
    <w:rsid w:val="000456AA"/>
    <w:rsid w:val="00045812"/>
    <w:rsid w:val="000462DC"/>
    <w:rsid w:val="000467FB"/>
    <w:rsid w:val="00047585"/>
    <w:rsid w:val="00050227"/>
    <w:rsid w:val="00050E15"/>
    <w:rsid w:val="000512C5"/>
    <w:rsid w:val="00051767"/>
    <w:rsid w:val="00051864"/>
    <w:rsid w:val="000519D5"/>
    <w:rsid w:val="000534C5"/>
    <w:rsid w:val="00054B37"/>
    <w:rsid w:val="00054BD6"/>
    <w:rsid w:val="00055A96"/>
    <w:rsid w:val="0005621A"/>
    <w:rsid w:val="00056862"/>
    <w:rsid w:val="000573C2"/>
    <w:rsid w:val="00057ADE"/>
    <w:rsid w:val="0006028E"/>
    <w:rsid w:val="00060325"/>
    <w:rsid w:val="00061BD2"/>
    <w:rsid w:val="00062922"/>
    <w:rsid w:val="00062BA1"/>
    <w:rsid w:val="000637DB"/>
    <w:rsid w:val="00063B41"/>
    <w:rsid w:val="00063EFF"/>
    <w:rsid w:val="000643C6"/>
    <w:rsid w:val="00064D27"/>
    <w:rsid w:val="00065385"/>
    <w:rsid w:val="00067D4D"/>
    <w:rsid w:val="000711FC"/>
    <w:rsid w:val="00071651"/>
    <w:rsid w:val="00072012"/>
    <w:rsid w:val="0007215F"/>
    <w:rsid w:val="000721E8"/>
    <w:rsid w:val="00072A3D"/>
    <w:rsid w:val="000733AE"/>
    <w:rsid w:val="000738A3"/>
    <w:rsid w:val="00074869"/>
    <w:rsid w:val="00074C68"/>
    <w:rsid w:val="000769A0"/>
    <w:rsid w:val="00077289"/>
    <w:rsid w:val="00077E2B"/>
    <w:rsid w:val="00081128"/>
    <w:rsid w:val="00081937"/>
    <w:rsid w:val="0008212F"/>
    <w:rsid w:val="00083047"/>
    <w:rsid w:val="000836BF"/>
    <w:rsid w:val="00083C31"/>
    <w:rsid w:val="0008509E"/>
    <w:rsid w:val="00086D29"/>
    <w:rsid w:val="000907BA"/>
    <w:rsid w:val="000914EC"/>
    <w:rsid w:val="00091549"/>
    <w:rsid w:val="00092315"/>
    <w:rsid w:val="00092703"/>
    <w:rsid w:val="00092BA3"/>
    <w:rsid w:val="00093926"/>
    <w:rsid w:val="0009395F"/>
    <w:rsid w:val="00093DDD"/>
    <w:rsid w:val="00094197"/>
    <w:rsid w:val="0009572F"/>
    <w:rsid w:val="0009586D"/>
    <w:rsid w:val="0009596D"/>
    <w:rsid w:val="000964FD"/>
    <w:rsid w:val="00096BAC"/>
    <w:rsid w:val="00097444"/>
    <w:rsid w:val="000A0239"/>
    <w:rsid w:val="000A0456"/>
    <w:rsid w:val="000A0B66"/>
    <w:rsid w:val="000A0D31"/>
    <w:rsid w:val="000A0E8B"/>
    <w:rsid w:val="000A11C2"/>
    <w:rsid w:val="000A1B22"/>
    <w:rsid w:val="000A2C3B"/>
    <w:rsid w:val="000A3452"/>
    <w:rsid w:val="000A3EC6"/>
    <w:rsid w:val="000A42B7"/>
    <w:rsid w:val="000A5835"/>
    <w:rsid w:val="000A5F98"/>
    <w:rsid w:val="000A712A"/>
    <w:rsid w:val="000A7AD5"/>
    <w:rsid w:val="000B00D4"/>
    <w:rsid w:val="000B0BB3"/>
    <w:rsid w:val="000B0EE7"/>
    <w:rsid w:val="000B28C2"/>
    <w:rsid w:val="000B2E70"/>
    <w:rsid w:val="000B30D8"/>
    <w:rsid w:val="000B36DE"/>
    <w:rsid w:val="000B4A2D"/>
    <w:rsid w:val="000B4CF5"/>
    <w:rsid w:val="000B59A3"/>
    <w:rsid w:val="000B5ED9"/>
    <w:rsid w:val="000B757C"/>
    <w:rsid w:val="000C04FC"/>
    <w:rsid w:val="000C0BFB"/>
    <w:rsid w:val="000C0F55"/>
    <w:rsid w:val="000C3420"/>
    <w:rsid w:val="000C3690"/>
    <w:rsid w:val="000C378A"/>
    <w:rsid w:val="000C4248"/>
    <w:rsid w:val="000C4611"/>
    <w:rsid w:val="000C47FD"/>
    <w:rsid w:val="000C497C"/>
    <w:rsid w:val="000C5861"/>
    <w:rsid w:val="000C6477"/>
    <w:rsid w:val="000C6FD2"/>
    <w:rsid w:val="000C72AF"/>
    <w:rsid w:val="000C78B8"/>
    <w:rsid w:val="000D0148"/>
    <w:rsid w:val="000D02AF"/>
    <w:rsid w:val="000D0B64"/>
    <w:rsid w:val="000D1063"/>
    <w:rsid w:val="000D1A40"/>
    <w:rsid w:val="000D3045"/>
    <w:rsid w:val="000D3156"/>
    <w:rsid w:val="000D32CA"/>
    <w:rsid w:val="000D493B"/>
    <w:rsid w:val="000D5EF4"/>
    <w:rsid w:val="000D7077"/>
    <w:rsid w:val="000D7488"/>
    <w:rsid w:val="000E0967"/>
    <w:rsid w:val="000E1B23"/>
    <w:rsid w:val="000E2641"/>
    <w:rsid w:val="000E2DA3"/>
    <w:rsid w:val="000E31CB"/>
    <w:rsid w:val="000E39A4"/>
    <w:rsid w:val="000E4585"/>
    <w:rsid w:val="000E494E"/>
    <w:rsid w:val="000E4B77"/>
    <w:rsid w:val="000E4E67"/>
    <w:rsid w:val="000E4FB8"/>
    <w:rsid w:val="000E5277"/>
    <w:rsid w:val="000E7221"/>
    <w:rsid w:val="000E7448"/>
    <w:rsid w:val="000E79B4"/>
    <w:rsid w:val="000F0008"/>
    <w:rsid w:val="000F01F9"/>
    <w:rsid w:val="000F1019"/>
    <w:rsid w:val="000F1C2A"/>
    <w:rsid w:val="000F20BD"/>
    <w:rsid w:val="000F275F"/>
    <w:rsid w:val="000F3382"/>
    <w:rsid w:val="000F3C8A"/>
    <w:rsid w:val="000F3F5B"/>
    <w:rsid w:val="000F55A8"/>
    <w:rsid w:val="000F5D47"/>
    <w:rsid w:val="000F6D0E"/>
    <w:rsid w:val="000F72CA"/>
    <w:rsid w:val="00100E8B"/>
    <w:rsid w:val="001019E1"/>
    <w:rsid w:val="00101AD5"/>
    <w:rsid w:val="0010280B"/>
    <w:rsid w:val="00103AF7"/>
    <w:rsid w:val="0010436A"/>
    <w:rsid w:val="001044A5"/>
    <w:rsid w:val="00104D71"/>
    <w:rsid w:val="00104DCC"/>
    <w:rsid w:val="00105F58"/>
    <w:rsid w:val="00107DFA"/>
    <w:rsid w:val="001102F1"/>
    <w:rsid w:val="0011061A"/>
    <w:rsid w:val="001109F2"/>
    <w:rsid w:val="00110A22"/>
    <w:rsid w:val="00111287"/>
    <w:rsid w:val="00111CCC"/>
    <w:rsid w:val="0011278B"/>
    <w:rsid w:val="001133A8"/>
    <w:rsid w:val="00114132"/>
    <w:rsid w:val="00114646"/>
    <w:rsid w:val="0011488B"/>
    <w:rsid w:val="00114BC7"/>
    <w:rsid w:val="0011540C"/>
    <w:rsid w:val="001157B0"/>
    <w:rsid w:val="00115E16"/>
    <w:rsid w:val="00116E92"/>
    <w:rsid w:val="00117348"/>
    <w:rsid w:val="00117666"/>
    <w:rsid w:val="00117E4D"/>
    <w:rsid w:val="0012163E"/>
    <w:rsid w:val="0012272C"/>
    <w:rsid w:val="00122739"/>
    <w:rsid w:val="00122A68"/>
    <w:rsid w:val="00122C3B"/>
    <w:rsid w:val="00123DFD"/>
    <w:rsid w:val="00123F41"/>
    <w:rsid w:val="00124517"/>
    <w:rsid w:val="00124991"/>
    <w:rsid w:val="00125367"/>
    <w:rsid w:val="001272F2"/>
    <w:rsid w:val="00127907"/>
    <w:rsid w:val="00127F12"/>
    <w:rsid w:val="001300BE"/>
    <w:rsid w:val="0013024D"/>
    <w:rsid w:val="00130CBC"/>
    <w:rsid w:val="00131083"/>
    <w:rsid w:val="001310DD"/>
    <w:rsid w:val="001319F9"/>
    <w:rsid w:val="00131D38"/>
    <w:rsid w:val="00132A1A"/>
    <w:rsid w:val="001334EC"/>
    <w:rsid w:val="00133B7F"/>
    <w:rsid w:val="00134235"/>
    <w:rsid w:val="001346A2"/>
    <w:rsid w:val="00134882"/>
    <w:rsid w:val="00135336"/>
    <w:rsid w:val="00135EBB"/>
    <w:rsid w:val="00136D7C"/>
    <w:rsid w:val="0013711A"/>
    <w:rsid w:val="001409BA"/>
    <w:rsid w:val="0014236D"/>
    <w:rsid w:val="00142AD8"/>
    <w:rsid w:val="00142D50"/>
    <w:rsid w:val="00142F3D"/>
    <w:rsid w:val="00143626"/>
    <w:rsid w:val="001439A1"/>
    <w:rsid w:val="00144DDD"/>
    <w:rsid w:val="00145B4D"/>
    <w:rsid w:val="001470A5"/>
    <w:rsid w:val="001470E2"/>
    <w:rsid w:val="00147DAC"/>
    <w:rsid w:val="0015002D"/>
    <w:rsid w:val="00150CF0"/>
    <w:rsid w:val="00150E9C"/>
    <w:rsid w:val="00150FC0"/>
    <w:rsid w:val="0015141C"/>
    <w:rsid w:val="001517FC"/>
    <w:rsid w:val="00151BC7"/>
    <w:rsid w:val="00152CA5"/>
    <w:rsid w:val="00152FBD"/>
    <w:rsid w:val="00153B53"/>
    <w:rsid w:val="00153B79"/>
    <w:rsid w:val="00154A7F"/>
    <w:rsid w:val="00154AF7"/>
    <w:rsid w:val="00155D66"/>
    <w:rsid w:val="00155F44"/>
    <w:rsid w:val="001563FC"/>
    <w:rsid w:val="00157E9D"/>
    <w:rsid w:val="00160E1F"/>
    <w:rsid w:val="001617D1"/>
    <w:rsid w:val="001627D3"/>
    <w:rsid w:val="00162D42"/>
    <w:rsid w:val="00163389"/>
    <w:rsid w:val="001649D4"/>
    <w:rsid w:val="00165AE1"/>
    <w:rsid w:val="00165D7A"/>
    <w:rsid w:val="0016724F"/>
    <w:rsid w:val="00167593"/>
    <w:rsid w:val="00167830"/>
    <w:rsid w:val="00167F08"/>
    <w:rsid w:val="00170798"/>
    <w:rsid w:val="0017108E"/>
    <w:rsid w:val="0017199F"/>
    <w:rsid w:val="00171BD1"/>
    <w:rsid w:val="00172138"/>
    <w:rsid w:val="00172DB3"/>
    <w:rsid w:val="00173744"/>
    <w:rsid w:val="00174777"/>
    <w:rsid w:val="00175104"/>
    <w:rsid w:val="00175996"/>
    <w:rsid w:val="00176080"/>
    <w:rsid w:val="00176F4A"/>
    <w:rsid w:val="00177F55"/>
    <w:rsid w:val="0018044B"/>
    <w:rsid w:val="001817B0"/>
    <w:rsid w:val="00182B5D"/>
    <w:rsid w:val="00183E92"/>
    <w:rsid w:val="001852B8"/>
    <w:rsid w:val="00185643"/>
    <w:rsid w:val="001862B6"/>
    <w:rsid w:val="001878D0"/>
    <w:rsid w:val="00187918"/>
    <w:rsid w:val="00190482"/>
    <w:rsid w:val="001923BD"/>
    <w:rsid w:val="0019258C"/>
    <w:rsid w:val="001935A7"/>
    <w:rsid w:val="00193A9E"/>
    <w:rsid w:val="00193BF7"/>
    <w:rsid w:val="00194BC9"/>
    <w:rsid w:val="00194BD8"/>
    <w:rsid w:val="00196E23"/>
    <w:rsid w:val="0019712E"/>
    <w:rsid w:val="00197651"/>
    <w:rsid w:val="001978F3"/>
    <w:rsid w:val="00197B37"/>
    <w:rsid w:val="00197B8B"/>
    <w:rsid w:val="00197C2F"/>
    <w:rsid w:val="00197DB3"/>
    <w:rsid w:val="001A000A"/>
    <w:rsid w:val="001A1DCA"/>
    <w:rsid w:val="001A1F08"/>
    <w:rsid w:val="001A1FED"/>
    <w:rsid w:val="001A27AA"/>
    <w:rsid w:val="001A2831"/>
    <w:rsid w:val="001A2AB6"/>
    <w:rsid w:val="001A2C32"/>
    <w:rsid w:val="001A3707"/>
    <w:rsid w:val="001A4764"/>
    <w:rsid w:val="001A56D6"/>
    <w:rsid w:val="001A57DB"/>
    <w:rsid w:val="001A58AC"/>
    <w:rsid w:val="001A5E53"/>
    <w:rsid w:val="001A6398"/>
    <w:rsid w:val="001A7FA2"/>
    <w:rsid w:val="001B1368"/>
    <w:rsid w:val="001B17A3"/>
    <w:rsid w:val="001B1CA5"/>
    <w:rsid w:val="001B1FAA"/>
    <w:rsid w:val="001B2686"/>
    <w:rsid w:val="001B2706"/>
    <w:rsid w:val="001B3124"/>
    <w:rsid w:val="001B37C2"/>
    <w:rsid w:val="001B394F"/>
    <w:rsid w:val="001B3F97"/>
    <w:rsid w:val="001B440A"/>
    <w:rsid w:val="001B4DFD"/>
    <w:rsid w:val="001B4FB5"/>
    <w:rsid w:val="001B742B"/>
    <w:rsid w:val="001B7734"/>
    <w:rsid w:val="001C13AF"/>
    <w:rsid w:val="001C13B4"/>
    <w:rsid w:val="001C14B4"/>
    <w:rsid w:val="001C14D7"/>
    <w:rsid w:val="001C188B"/>
    <w:rsid w:val="001C1F7B"/>
    <w:rsid w:val="001C213A"/>
    <w:rsid w:val="001C251D"/>
    <w:rsid w:val="001C2C98"/>
    <w:rsid w:val="001C303C"/>
    <w:rsid w:val="001C3DB8"/>
    <w:rsid w:val="001C4E42"/>
    <w:rsid w:val="001C5EC5"/>
    <w:rsid w:val="001C6753"/>
    <w:rsid w:val="001C6A68"/>
    <w:rsid w:val="001C70EC"/>
    <w:rsid w:val="001C7E15"/>
    <w:rsid w:val="001D001D"/>
    <w:rsid w:val="001D0495"/>
    <w:rsid w:val="001D0992"/>
    <w:rsid w:val="001D12C5"/>
    <w:rsid w:val="001D2527"/>
    <w:rsid w:val="001D27EC"/>
    <w:rsid w:val="001D2BD8"/>
    <w:rsid w:val="001D2E9F"/>
    <w:rsid w:val="001D2FB7"/>
    <w:rsid w:val="001D3EE9"/>
    <w:rsid w:val="001D4330"/>
    <w:rsid w:val="001D4716"/>
    <w:rsid w:val="001D5947"/>
    <w:rsid w:val="001D6BC8"/>
    <w:rsid w:val="001D70EC"/>
    <w:rsid w:val="001D7450"/>
    <w:rsid w:val="001D7506"/>
    <w:rsid w:val="001D7695"/>
    <w:rsid w:val="001D77F2"/>
    <w:rsid w:val="001D7AAD"/>
    <w:rsid w:val="001E0965"/>
    <w:rsid w:val="001E0CF3"/>
    <w:rsid w:val="001E0D70"/>
    <w:rsid w:val="001E180F"/>
    <w:rsid w:val="001E195A"/>
    <w:rsid w:val="001E1A71"/>
    <w:rsid w:val="001E1B0B"/>
    <w:rsid w:val="001E1DC8"/>
    <w:rsid w:val="001E236E"/>
    <w:rsid w:val="001E27B3"/>
    <w:rsid w:val="001E2921"/>
    <w:rsid w:val="001E2C25"/>
    <w:rsid w:val="001E304F"/>
    <w:rsid w:val="001E43DF"/>
    <w:rsid w:val="001E4DB2"/>
    <w:rsid w:val="001E546B"/>
    <w:rsid w:val="001E57F6"/>
    <w:rsid w:val="001E5CDD"/>
    <w:rsid w:val="001E5DF7"/>
    <w:rsid w:val="001E67FE"/>
    <w:rsid w:val="001E6B21"/>
    <w:rsid w:val="001E77B0"/>
    <w:rsid w:val="001E7FC7"/>
    <w:rsid w:val="001F04FA"/>
    <w:rsid w:val="001F098A"/>
    <w:rsid w:val="001F215C"/>
    <w:rsid w:val="001F252A"/>
    <w:rsid w:val="001F2DE9"/>
    <w:rsid w:val="001F3710"/>
    <w:rsid w:val="001F4526"/>
    <w:rsid w:val="001F568A"/>
    <w:rsid w:val="001F5C7B"/>
    <w:rsid w:val="001F5E50"/>
    <w:rsid w:val="001F6C03"/>
    <w:rsid w:val="001F7424"/>
    <w:rsid w:val="001F7F62"/>
    <w:rsid w:val="00200075"/>
    <w:rsid w:val="00200DFB"/>
    <w:rsid w:val="00200F3A"/>
    <w:rsid w:val="00201006"/>
    <w:rsid w:val="002023A8"/>
    <w:rsid w:val="0020252A"/>
    <w:rsid w:val="0020273D"/>
    <w:rsid w:val="00202A37"/>
    <w:rsid w:val="002039E9"/>
    <w:rsid w:val="00203A6C"/>
    <w:rsid w:val="00204528"/>
    <w:rsid w:val="00204C92"/>
    <w:rsid w:val="00205CC2"/>
    <w:rsid w:val="00206944"/>
    <w:rsid w:val="002074C6"/>
    <w:rsid w:val="0021079A"/>
    <w:rsid w:val="00210D40"/>
    <w:rsid w:val="00210E73"/>
    <w:rsid w:val="0021162C"/>
    <w:rsid w:val="002118A6"/>
    <w:rsid w:val="00211FAE"/>
    <w:rsid w:val="00212252"/>
    <w:rsid w:val="002124C2"/>
    <w:rsid w:val="00212593"/>
    <w:rsid w:val="002127FD"/>
    <w:rsid w:val="002134D3"/>
    <w:rsid w:val="00213792"/>
    <w:rsid w:val="00213E40"/>
    <w:rsid w:val="00215F35"/>
    <w:rsid w:val="0021719A"/>
    <w:rsid w:val="002200ED"/>
    <w:rsid w:val="00220374"/>
    <w:rsid w:val="00220432"/>
    <w:rsid w:val="00220ABA"/>
    <w:rsid w:val="0022101A"/>
    <w:rsid w:val="00221530"/>
    <w:rsid w:val="00221EED"/>
    <w:rsid w:val="00222010"/>
    <w:rsid w:val="002240CA"/>
    <w:rsid w:val="002249D6"/>
    <w:rsid w:val="002255A2"/>
    <w:rsid w:val="0022791A"/>
    <w:rsid w:val="002301B3"/>
    <w:rsid w:val="002310AA"/>
    <w:rsid w:val="0023134B"/>
    <w:rsid w:val="0023187F"/>
    <w:rsid w:val="00231B7C"/>
    <w:rsid w:val="002323AE"/>
    <w:rsid w:val="002334CD"/>
    <w:rsid w:val="0023380C"/>
    <w:rsid w:val="002339D3"/>
    <w:rsid w:val="00233C8B"/>
    <w:rsid w:val="002346C3"/>
    <w:rsid w:val="002351E8"/>
    <w:rsid w:val="0023537C"/>
    <w:rsid w:val="002368F4"/>
    <w:rsid w:val="00240A20"/>
    <w:rsid w:val="0024140A"/>
    <w:rsid w:val="00242496"/>
    <w:rsid w:val="00242AEE"/>
    <w:rsid w:val="00242D54"/>
    <w:rsid w:val="0024320F"/>
    <w:rsid w:val="00243A16"/>
    <w:rsid w:val="00244F96"/>
    <w:rsid w:val="00246BD6"/>
    <w:rsid w:val="0024739B"/>
    <w:rsid w:val="00250734"/>
    <w:rsid w:val="00251C52"/>
    <w:rsid w:val="0025382A"/>
    <w:rsid w:val="002543B7"/>
    <w:rsid w:val="00256042"/>
    <w:rsid w:val="002570AF"/>
    <w:rsid w:val="00257A7A"/>
    <w:rsid w:val="00257BC5"/>
    <w:rsid w:val="002606C0"/>
    <w:rsid w:val="0026164C"/>
    <w:rsid w:val="00262700"/>
    <w:rsid w:val="00262BE7"/>
    <w:rsid w:val="00263060"/>
    <w:rsid w:val="002634E7"/>
    <w:rsid w:val="00263987"/>
    <w:rsid w:val="0026402C"/>
    <w:rsid w:val="00264A25"/>
    <w:rsid w:val="00265CD8"/>
    <w:rsid w:val="002668B0"/>
    <w:rsid w:val="00267009"/>
    <w:rsid w:val="00267494"/>
    <w:rsid w:val="00267980"/>
    <w:rsid w:val="00267B7B"/>
    <w:rsid w:val="00267C36"/>
    <w:rsid w:val="00267C51"/>
    <w:rsid w:val="00267D01"/>
    <w:rsid w:val="00267E66"/>
    <w:rsid w:val="00270149"/>
    <w:rsid w:val="00270443"/>
    <w:rsid w:val="00270E79"/>
    <w:rsid w:val="002729A5"/>
    <w:rsid w:val="00272CA3"/>
    <w:rsid w:val="00272E70"/>
    <w:rsid w:val="00274495"/>
    <w:rsid w:val="002765CA"/>
    <w:rsid w:val="0027661B"/>
    <w:rsid w:val="0027739B"/>
    <w:rsid w:val="00277B64"/>
    <w:rsid w:val="00277EE1"/>
    <w:rsid w:val="00280648"/>
    <w:rsid w:val="00280657"/>
    <w:rsid w:val="00280B1B"/>
    <w:rsid w:val="00280FE3"/>
    <w:rsid w:val="0028176B"/>
    <w:rsid w:val="0028206C"/>
    <w:rsid w:val="002821F8"/>
    <w:rsid w:val="00282D8B"/>
    <w:rsid w:val="00282E36"/>
    <w:rsid w:val="002830AD"/>
    <w:rsid w:val="0028380A"/>
    <w:rsid w:val="00283D4B"/>
    <w:rsid w:val="00284EF6"/>
    <w:rsid w:val="00285648"/>
    <w:rsid w:val="0028577A"/>
    <w:rsid w:val="0028691C"/>
    <w:rsid w:val="0028734A"/>
    <w:rsid w:val="00291218"/>
    <w:rsid w:val="0029124A"/>
    <w:rsid w:val="0029154F"/>
    <w:rsid w:val="00291D13"/>
    <w:rsid w:val="002927F1"/>
    <w:rsid w:val="00292C95"/>
    <w:rsid w:val="00292E1E"/>
    <w:rsid w:val="00292FA6"/>
    <w:rsid w:val="00293DD8"/>
    <w:rsid w:val="0029442C"/>
    <w:rsid w:val="0029477D"/>
    <w:rsid w:val="002954C9"/>
    <w:rsid w:val="002955DA"/>
    <w:rsid w:val="002957A5"/>
    <w:rsid w:val="002957E3"/>
    <w:rsid w:val="00295C8F"/>
    <w:rsid w:val="002969EE"/>
    <w:rsid w:val="00297134"/>
    <w:rsid w:val="00297D8D"/>
    <w:rsid w:val="00297E73"/>
    <w:rsid w:val="002A00EB"/>
    <w:rsid w:val="002A024D"/>
    <w:rsid w:val="002A03E5"/>
    <w:rsid w:val="002A05CB"/>
    <w:rsid w:val="002A253F"/>
    <w:rsid w:val="002A25FD"/>
    <w:rsid w:val="002A3D45"/>
    <w:rsid w:val="002A4568"/>
    <w:rsid w:val="002A491C"/>
    <w:rsid w:val="002A4EFC"/>
    <w:rsid w:val="002A6D19"/>
    <w:rsid w:val="002A70B4"/>
    <w:rsid w:val="002B08C1"/>
    <w:rsid w:val="002B0BD5"/>
    <w:rsid w:val="002B0FFD"/>
    <w:rsid w:val="002B1D1E"/>
    <w:rsid w:val="002B1EEC"/>
    <w:rsid w:val="002B4B3B"/>
    <w:rsid w:val="002B69CA"/>
    <w:rsid w:val="002B6B98"/>
    <w:rsid w:val="002B6BA4"/>
    <w:rsid w:val="002B6BAB"/>
    <w:rsid w:val="002B6FCC"/>
    <w:rsid w:val="002B7955"/>
    <w:rsid w:val="002C0632"/>
    <w:rsid w:val="002C09E4"/>
    <w:rsid w:val="002C1CE7"/>
    <w:rsid w:val="002C1F5E"/>
    <w:rsid w:val="002C26BD"/>
    <w:rsid w:val="002C2D26"/>
    <w:rsid w:val="002C3299"/>
    <w:rsid w:val="002C34F0"/>
    <w:rsid w:val="002C3D8F"/>
    <w:rsid w:val="002C4448"/>
    <w:rsid w:val="002C4F00"/>
    <w:rsid w:val="002C57DF"/>
    <w:rsid w:val="002C60A1"/>
    <w:rsid w:val="002C6509"/>
    <w:rsid w:val="002C659B"/>
    <w:rsid w:val="002C6DAA"/>
    <w:rsid w:val="002C7D13"/>
    <w:rsid w:val="002D0080"/>
    <w:rsid w:val="002D0272"/>
    <w:rsid w:val="002D09B9"/>
    <w:rsid w:val="002D141B"/>
    <w:rsid w:val="002D159F"/>
    <w:rsid w:val="002D32A4"/>
    <w:rsid w:val="002D35FD"/>
    <w:rsid w:val="002D36C3"/>
    <w:rsid w:val="002D3C0B"/>
    <w:rsid w:val="002D3C68"/>
    <w:rsid w:val="002D453E"/>
    <w:rsid w:val="002D4BF0"/>
    <w:rsid w:val="002D5759"/>
    <w:rsid w:val="002D580C"/>
    <w:rsid w:val="002D6108"/>
    <w:rsid w:val="002D656A"/>
    <w:rsid w:val="002D6DD8"/>
    <w:rsid w:val="002D7AA9"/>
    <w:rsid w:val="002D7D24"/>
    <w:rsid w:val="002E0041"/>
    <w:rsid w:val="002E0252"/>
    <w:rsid w:val="002E03CB"/>
    <w:rsid w:val="002E0E9A"/>
    <w:rsid w:val="002E28F6"/>
    <w:rsid w:val="002E2EC9"/>
    <w:rsid w:val="002E4513"/>
    <w:rsid w:val="002E66D0"/>
    <w:rsid w:val="002E6A7D"/>
    <w:rsid w:val="002E75D0"/>
    <w:rsid w:val="002F140A"/>
    <w:rsid w:val="002F16D5"/>
    <w:rsid w:val="002F20FF"/>
    <w:rsid w:val="002F2804"/>
    <w:rsid w:val="002F28FE"/>
    <w:rsid w:val="002F349A"/>
    <w:rsid w:val="002F36F6"/>
    <w:rsid w:val="002F37FE"/>
    <w:rsid w:val="002F3E76"/>
    <w:rsid w:val="002F4861"/>
    <w:rsid w:val="002F5543"/>
    <w:rsid w:val="002F6D3A"/>
    <w:rsid w:val="002F733F"/>
    <w:rsid w:val="00300046"/>
    <w:rsid w:val="003012F8"/>
    <w:rsid w:val="00302371"/>
    <w:rsid w:val="00302845"/>
    <w:rsid w:val="00303453"/>
    <w:rsid w:val="0030399F"/>
    <w:rsid w:val="003043F8"/>
    <w:rsid w:val="0030517D"/>
    <w:rsid w:val="0030561C"/>
    <w:rsid w:val="003057BA"/>
    <w:rsid w:val="003065A6"/>
    <w:rsid w:val="00307179"/>
    <w:rsid w:val="003076EF"/>
    <w:rsid w:val="00307896"/>
    <w:rsid w:val="003124CD"/>
    <w:rsid w:val="003127D0"/>
    <w:rsid w:val="00312FD1"/>
    <w:rsid w:val="003133C1"/>
    <w:rsid w:val="00313BE8"/>
    <w:rsid w:val="0031431E"/>
    <w:rsid w:val="00314C56"/>
    <w:rsid w:val="00314F2E"/>
    <w:rsid w:val="00315786"/>
    <w:rsid w:val="003158EE"/>
    <w:rsid w:val="003160F7"/>
    <w:rsid w:val="00316323"/>
    <w:rsid w:val="00316330"/>
    <w:rsid w:val="003165FB"/>
    <w:rsid w:val="00316802"/>
    <w:rsid w:val="00316A80"/>
    <w:rsid w:val="00316E0C"/>
    <w:rsid w:val="00316F08"/>
    <w:rsid w:val="003170AE"/>
    <w:rsid w:val="003172B4"/>
    <w:rsid w:val="00320383"/>
    <w:rsid w:val="003208E9"/>
    <w:rsid w:val="00320932"/>
    <w:rsid w:val="00320B5E"/>
    <w:rsid w:val="00321CBC"/>
    <w:rsid w:val="00322782"/>
    <w:rsid w:val="00322CB7"/>
    <w:rsid w:val="0032315C"/>
    <w:rsid w:val="00323A8A"/>
    <w:rsid w:val="0032482D"/>
    <w:rsid w:val="00324A00"/>
    <w:rsid w:val="00324E34"/>
    <w:rsid w:val="00324FC4"/>
    <w:rsid w:val="00325BA4"/>
    <w:rsid w:val="0032683B"/>
    <w:rsid w:val="00326AC8"/>
    <w:rsid w:val="00327C67"/>
    <w:rsid w:val="00327D0B"/>
    <w:rsid w:val="00330FEA"/>
    <w:rsid w:val="00331121"/>
    <w:rsid w:val="00332EB6"/>
    <w:rsid w:val="003335B0"/>
    <w:rsid w:val="003339B6"/>
    <w:rsid w:val="003347B1"/>
    <w:rsid w:val="00335133"/>
    <w:rsid w:val="00335C2C"/>
    <w:rsid w:val="00337467"/>
    <w:rsid w:val="003377C4"/>
    <w:rsid w:val="003378DA"/>
    <w:rsid w:val="003404A1"/>
    <w:rsid w:val="0034080E"/>
    <w:rsid w:val="00340864"/>
    <w:rsid w:val="0034184E"/>
    <w:rsid w:val="00341861"/>
    <w:rsid w:val="003426B0"/>
    <w:rsid w:val="0034348E"/>
    <w:rsid w:val="0034392A"/>
    <w:rsid w:val="00343C55"/>
    <w:rsid w:val="00344276"/>
    <w:rsid w:val="003452FC"/>
    <w:rsid w:val="003466BC"/>
    <w:rsid w:val="00346FF6"/>
    <w:rsid w:val="00347877"/>
    <w:rsid w:val="00350F99"/>
    <w:rsid w:val="00351BF6"/>
    <w:rsid w:val="00351E15"/>
    <w:rsid w:val="00351F78"/>
    <w:rsid w:val="00352653"/>
    <w:rsid w:val="00352893"/>
    <w:rsid w:val="00353937"/>
    <w:rsid w:val="00353C89"/>
    <w:rsid w:val="00355044"/>
    <w:rsid w:val="00356AD8"/>
    <w:rsid w:val="00356D4C"/>
    <w:rsid w:val="0035710F"/>
    <w:rsid w:val="0035798D"/>
    <w:rsid w:val="00357E7D"/>
    <w:rsid w:val="00360C23"/>
    <w:rsid w:val="003615E8"/>
    <w:rsid w:val="00361D71"/>
    <w:rsid w:val="00362536"/>
    <w:rsid w:val="003626EC"/>
    <w:rsid w:val="00362ED4"/>
    <w:rsid w:val="00363B14"/>
    <w:rsid w:val="00364260"/>
    <w:rsid w:val="003655F1"/>
    <w:rsid w:val="00365654"/>
    <w:rsid w:val="00365687"/>
    <w:rsid w:val="0036573B"/>
    <w:rsid w:val="00366154"/>
    <w:rsid w:val="00366834"/>
    <w:rsid w:val="0036698A"/>
    <w:rsid w:val="00366D99"/>
    <w:rsid w:val="00366DE9"/>
    <w:rsid w:val="00366F31"/>
    <w:rsid w:val="00367A7D"/>
    <w:rsid w:val="003709D0"/>
    <w:rsid w:val="00371108"/>
    <w:rsid w:val="00371190"/>
    <w:rsid w:val="00371D47"/>
    <w:rsid w:val="003729EB"/>
    <w:rsid w:val="003736A0"/>
    <w:rsid w:val="0037402E"/>
    <w:rsid w:val="0037516A"/>
    <w:rsid w:val="0037621E"/>
    <w:rsid w:val="00376BC6"/>
    <w:rsid w:val="00376D6F"/>
    <w:rsid w:val="003772F5"/>
    <w:rsid w:val="00377A32"/>
    <w:rsid w:val="00377E74"/>
    <w:rsid w:val="00377ED0"/>
    <w:rsid w:val="00377FE0"/>
    <w:rsid w:val="00380100"/>
    <w:rsid w:val="003812EE"/>
    <w:rsid w:val="003815C5"/>
    <w:rsid w:val="00382CC2"/>
    <w:rsid w:val="00383056"/>
    <w:rsid w:val="003835C5"/>
    <w:rsid w:val="003836F7"/>
    <w:rsid w:val="00385757"/>
    <w:rsid w:val="00385DD8"/>
    <w:rsid w:val="00385F79"/>
    <w:rsid w:val="00386075"/>
    <w:rsid w:val="00386F0A"/>
    <w:rsid w:val="00387997"/>
    <w:rsid w:val="00390E9C"/>
    <w:rsid w:val="00390FE6"/>
    <w:rsid w:val="003915B5"/>
    <w:rsid w:val="00391C23"/>
    <w:rsid w:val="00391D7D"/>
    <w:rsid w:val="003924EA"/>
    <w:rsid w:val="00392905"/>
    <w:rsid w:val="00392BE6"/>
    <w:rsid w:val="00393A5C"/>
    <w:rsid w:val="00393C4E"/>
    <w:rsid w:val="003947EC"/>
    <w:rsid w:val="00395181"/>
    <w:rsid w:val="00396BEC"/>
    <w:rsid w:val="00397147"/>
    <w:rsid w:val="0039779D"/>
    <w:rsid w:val="003A14ED"/>
    <w:rsid w:val="003A26B6"/>
    <w:rsid w:val="003A2F14"/>
    <w:rsid w:val="003A391D"/>
    <w:rsid w:val="003A3E87"/>
    <w:rsid w:val="003A5324"/>
    <w:rsid w:val="003A54F2"/>
    <w:rsid w:val="003A6D43"/>
    <w:rsid w:val="003B16AE"/>
    <w:rsid w:val="003B203E"/>
    <w:rsid w:val="003B2D4D"/>
    <w:rsid w:val="003B395D"/>
    <w:rsid w:val="003B415F"/>
    <w:rsid w:val="003B44AE"/>
    <w:rsid w:val="003B4A78"/>
    <w:rsid w:val="003B6126"/>
    <w:rsid w:val="003B66C2"/>
    <w:rsid w:val="003B6D4B"/>
    <w:rsid w:val="003B7E0C"/>
    <w:rsid w:val="003B7EEA"/>
    <w:rsid w:val="003B7F56"/>
    <w:rsid w:val="003C0045"/>
    <w:rsid w:val="003C0B2B"/>
    <w:rsid w:val="003C1EC1"/>
    <w:rsid w:val="003C20A6"/>
    <w:rsid w:val="003C28DB"/>
    <w:rsid w:val="003C3B28"/>
    <w:rsid w:val="003C4927"/>
    <w:rsid w:val="003C543D"/>
    <w:rsid w:val="003C5719"/>
    <w:rsid w:val="003C6150"/>
    <w:rsid w:val="003C6C68"/>
    <w:rsid w:val="003C71B3"/>
    <w:rsid w:val="003D1423"/>
    <w:rsid w:val="003D14BA"/>
    <w:rsid w:val="003D190B"/>
    <w:rsid w:val="003D1F74"/>
    <w:rsid w:val="003D39C2"/>
    <w:rsid w:val="003D477E"/>
    <w:rsid w:val="003D4F16"/>
    <w:rsid w:val="003D50B0"/>
    <w:rsid w:val="003D5327"/>
    <w:rsid w:val="003D56FC"/>
    <w:rsid w:val="003D5769"/>
    <w:rsid w:val="003D5844"/>
    <w:rsid w:val="003D60B4"/>
    <w:rsid w:val="003D6B29"/>
    <w:rsid w:val="003D71E9"/>
    <w:rsid w:val="003D75A1"/>
    <w:rsid w:val="003E026E"/>
    <w:rsid w:val="003E04F0"/>
    <w:rsid w:val="003E288D"/>
    <w:rsid w:val="003E3D0C"/>
    <w:rsid w:val="003E3FF4"/>
    <w:rsid w:val="003E41AE"/>
    <w:rsid w:val="003E4985"/>
    <w:rsid w:val="003E6AF6"/>
    <w:rsid w:val="003E6F4A"/>
    <w:rsid w:val="003E7C60"/>
    <w:rsid w:val="003E7DA0"/>
    <w:rsid w:val="003F0535"/>
    <w:rsid w:val="003F10F6"/>
    <w:rsid w:val="003F1C05"/>
    <w:rsid w:val="003F2EAF"/>
    <w:rsid w:val="003F32FE"/>
    <w:rsid w:val="003F3788"/>
    <w:rsid w:val="003F3B18"/>
    <w:rsid w:val="003F3B7A"/>
    <w:rsid w:val="003F3C9D"/>
    <w:rsid w:val="003F4260"/>
    <w:rsid w:val="003F52DF"/>
    <w:rsid w:val="003F58C6"/>
    <w:rsid w:val="003F6614"/>
    <w:rsid w:val="004007D1"/>
    <w:rsid w:val="00400834"/>
    <w:rsid w:val="004010C3"/>
    <w:rsid w:val="00401DEB"/>
    <w:rsid w:val="00401F42"/>
    <w:rsid w:val="0040312C"/>
    <w:rsid w:val="00403BB9"/>
    <w:rsid w:val="0040458D"/>
    <w:rsid w:val="0040560F"/>
    <w:rsid w:val="00405D2B"/>
    <w:rsid w:val="0040666B"/>
    <w:rsid w:val="004101A1"/>
    <w:rsid w:val="00411776"/>
    <w:rsid w:val="00413870"/>
    <w:rsid w:val="00413C07"/>
    <w:rsid w:val="00415619"/>
    <w:rsid w:val="00416A8C"/>
    <w:rsid w:val="004171C1"/>
    <w:rsid w:val="00417224"/>
    <w:rsid w:val="004208E0"/>
    <w:rsid w:val="00421681"/>
    <w:rsid w:val="00422B29"/>
    <w:rsid w:val="004242D4"/>
    <w:rsid w:val="0042459E"/>
    <w:rsid w:val="0042494B"/>
    <w:rsid w:val="00425AAC"/>
    <w:rsid w:val="0042610E"/>
    <w:rsid w:val="00426C7B"/>
    <w:rsid w:val="00427324"/>
    <w:rsid w:val="0043033D"/>
    <w:rsid w:val="00430852"/>
    <w:rsid w:val="00430D3B"/>
    <w:rsid w:val="004310BE"/>
    <w:rsid w:val="004314C5"/>
    <w:rsid w:val="00432276"/>
    <w:rsid w:val="004323A0"/>
    <w:rsid w:val="00433054"/>
    <w:rsid w:val="00435134"/>
    <w:rsid w:val="0043539F"/>
    <w:rsid w:val="00435B13"/>
    <w:rsid w:val="004372AF"/>
    <w:rsid w:val="004372EF"/>
    <w:rsid w:val="00437820"/>
    <w:rsid w:val="00437B70"/>
    <w:rsid w:val="00440B79"/>
    <w:rsid w:val="0044177C"/>
    <w:rsid w:val="00441D69"/>
    <w:rsid w:val="00441F7D"/>
    <w:rsid w:val="00442F94"/>
    <w:rsid w:val="004430A1"/>
    <w:rsid w:val="004430F9"/>
    <w:rsid w:val="004433E1"/>
    <w:rsid w:val="00444DB7"/>
    <w:rsid w:val="00445099"/>
    <w:rsid w:val="004478EF"/>
    <w:rsid w:val="00450116"/>
    <w:rsid w:val="00450123"/>
    <w:rsid w:val="0045087C"/>
    <w:rsid w:val="0045174B"/>
    <w:rsid w:val="00451FBA"/>
    <w:rsid w:val="004523AD"/>
    <w:rsid w:val="0045330A"/>
    <w:rsid w:val="00453410"/>
    <w:rsid w:val="00453CE5"/>
    <w:rsid w:val="00454BA7"/>
    <w:rsid w:val="00454F22"/>
    <w:rsid w:val="004560AF"/>
    <w:rsid w:val="00456513"/>
    <w:rsid w:val="00456BEE"/>
    <w:rsid w:val="0045764B"/>
    <w:rsid w:val="0046039A"/>
    <w:rsid w:val="00460541"/>
    <w:rsid w:val="00460861"/>
    <w:rsid w:val="004616D6"/>
    <w:rsid w:val="0046279A"/>
    <w:rsid w:val="00462C9F"/>
    <w:rsid w:val="004643A7"/>
    <w:rsid w:val="0046672C"/>
    <w:rsid w:val="0046747D"/>
    <w:rsid w:val="004677D9"/>
    <w:rsid w:val="00467CD7"/>
    <w:rsid w:val="0047015C"/>
    <w:rsid w:val="00470A61"/>
    <w:rsid w:val="00471399"/>
    <w:rsid w:val="004714A5"/>
    <w:rsid w:val="00471C3E"/>
    <w:rsid w:val="00471FB8"/>
    <w:rsid w:val="00472EEF"/>
    <w:rsid w:val="00472F9D"/>
    <w:rsid w:val="00473721"/>
    <w:rsid w:val="00474EC7"/>
    <w:rsid w:val="004753A5"/>
    <w:rsid w:val="00475C6F"/>
    <w:rsid w:val="0047763B"/>
    <w:rsid w:val="00477B14"/>
    <w:rsid w:val="00480762"/>
    <w:rsid w:val="00480BE6"/>
    <w:rsid w:val="004819F5"/>
    <w:rsid w:val="00481D58"/>
    <w:rsid w:val="00482229"/>
    <w:rsid w:val="004829FB"/>
    <w:rsid w:val="00482DCD"/>
    <w:rsid w:val="0048351E"/>
    <w:rsid w:val="00484960"/>
    <w:rsid w:val="00484F51"/>
    <w:rsid w:val="004856C7"/>
    <w:rsid w:val="00485E6D"/>
    <w:rsid w:val="00485F01"/>
    <w:rsid w:val="00486A69"/>
    <w:rsid w:val="00487F86"/>
    <w:rsid w:val="00487FE9"/>
    <w:rsid w:val="004901E8"/>
    <w:rsid w:val="00491526"/>
    <w:rsid w:val="00491993"/>
    <w:rsid w:val="00491DC0"/>
    <w:rsid w:val="00491EE2"/>
    <w:rsid w:val="0049278B"/>
    <w:rsid w:val="00494696"/>
    <w:rsid w:val="00496444"/>
    <w:rsid w:val="00496B04"/>
    <w:rsid w:val="004970BC"/>
    <w:rsid w:val="004975FF"/>
    <w:rsid w:val="00497946"/>
    <w:rsid w:val="00497C64"/>
    <w:rsid w:val="004A155A"/>
    <w:rsid w:val="004A1562"/>
    <w:rsid w:val="004A1928"/>
    <w:rsid w:val="004A34CE"/>
    <w:rsid w:val="004A385F"/>
    <w:rsid w:val="004A393B"/>
    <w:rsid w:val="004A3BFA"/>
    <w:rsid w:val="004A3EE9"/>
    <w:rsid w:val="004A47C6"/>
    <w:rsid w:val="004A4B93"/>
    <w:rsid w:val="004A5944"/>
    <w:rsid w:val="004A5D22"/>
    <w:rsid w:val="004A5E1B"/>
    <w:rsid w:val="004A6B36"/>
    <w:rsid w:val="004A6CF5"/>
    <w:rsid w:val="004A76D9"/>
    <w:rsid w:val="004A7D76"/>
    <w:rsid w:val="004B168E"/>
    <w:rsid w:val="004B18AE"/>
    <w:rsid w:val="004B1A05"/>
    <w:rsid w:val="004B1D14"/>
    <w:rsid w:val="004B21C8"/>
    <w:rsid w:val="004B2703"/>
    <w:rsid w:val="004B3970"/>
    <w:rsid w:val="004B43B6"/>
    <w:rsid w:val="004B516E"/>
    <w:rsid w:val="004B56B4"/>
    <w:rsid w:val="004B597A"/>
    <w:rsid w:val="004B5D47"/>
    <w:rsid w:val="004B6190"/>
    <w:rsid w:val="004B78C6"/>
    <w:rsid w:val="004C0669"/>
    <w:rsid w:val="004C1CED"/>
    <w:rsid w:val="004C1D81"/>
    <w:rsid w:val="004C21A2"/>
    <w:rsid w:val="004C22B3"/>
    <w:rsid w:val="004C2AC8"/>
    <w:rsid w:val="004C3F3D"/>
    <w:rsid w:val="004C481B"/>
    <w:rsid w:val="004C4A06"/>
    <w:rsid w:val="004C4CF9"/>
    <w:rsid w:val="004C4EA6"/>
    <w:rsid w:val="004C5515"/>
    <w:rsid w:val="004C74B5"/>
    <w:rsid w:val="004D0740"/>
    <w:rsid w:val="004D120E"/>
    <w:rsid w:val="004D2316"/>
    <w:rsid w:val="004D324A"/>
    <w:rsid w:val="004D3390"/>
    <w:rsid w:val="004D3724"/>
    <w:rsid w:val="004D3AF6"/>
    <w:rsid w:val="004D3C75"/>
    <w:rsid w:val="004D402B"/>
    <w:rsid w:val="004D5815"/>
    <w:rsid w:val="004D6086"/>
    <w:rsid w:val="004D6A05"/>
    <w:rsid w:val="004D6A4E"/>
    <w:rsid w:val="004E0694"/>
    <w:rsid w:val="004E0795"/>
    <w:rsid w:val="004E17E2"/>
    <w:rsid w:val="004E2148"/>
    <w:rsid w:val="004E22FD"/>
    <w:rsid w:val="004E2B12"/>
    <w:rsid w:val="004E3263"/>
    <w:rsid w:val="004E4932"/>
    <w:rsid w:val="004E53B7"/>
    <w:rsid w:val="004E55E0"/>
    <w:rsid w:val="004E5797"/>
    <w:rsid w:val="004E57CE"/>
    <w:rsid w:val="004E61B2"/>
    <w:rsid w:val="004E644B"/>
    <w:rsid w:val="004E78C8"/>
    <w:rsid w:val="004E7AB1"/>
    <w:rsid w:val="004E7FA4"/>
    <w:rsid w:val="004F04BD"/>
    <w:rsid w:val="004F09CC"/>
    <w:rsid w:val="004F1065"/>
    <w:rsid w:val="004F180E"/>
    <w:rsid w:val="004F2469"/>
    <w:rsid w:val="004F33FC"/>
    <w:rsid w:val="004F4413"/>
    <w:rsid w:val="004F450C"/>
    <w:rsid w:val="004F480A"/>
    <w:rsid w:val="004F49F5"/>
    <w:rsid w:val="004F6C61"/>
    <w:rsid w:val="005001A9"/>
    <w:rsid w:val="0050066F"/>
    <w:rsid w:val="005014D7"/>
    <w:rsid w:val="00501856"/>
    <w:rsid w:val="0050333F"/>
    <w:rsid w:val="0050338D"/>
    <w:rsid w:val="005038C1"/>
    <w:rsid w:val="00504091"/>
    <w:rsid w:val="005047C4"/>
    <w:rsid w:val="00504B52"/>
    <w:rsid w:val="00505902"/>
    <w:rsid w:val="00505A8A"/>
    <w:rsid w:val="00506559"/>
    <w:rsid w:val="00506EC8"/>
    <w:rsid w:val="00507302"/>
    <w:rsid w:val="00510E31"/>
    <w:rsid w:val="005110B4"/>
    <w:rsid w:val="00511710"/>
    <w:rsid w:val="0051197C"/>
    <w:rsid w:val="00512104"/>
    <w:rsid w:val="005124CE"/>
    <w:rsid w:val="00512D95"/>
    <w:rsid w:val="00513B93"/>
    <w:rsid w:val="00514672"/>
    <w:rsid w:val="00514D2A"/>
    <w:rsid w:val="00515779"/>
    <w:rsid w:val="00516894"/>
    <w:rsid w:val="0052039B"/>
    <w:rsid w:val="00520A0D"/>
    <w:rsid w:val="00520E95"/>
    <w:rsid w:val="005216CA"/>
    <w:rsid w:val="00522B3D"/>
    <w:rsid w:val="00522B7D"/>
    <w:rsid w:val="005273D3"/>
    <w:rsid w:val="0052758D"/>
    <w:rsid w:val="00527609"/>
    <w:rsid w:val="00530471"/>
    <w:rsid w:val="00530571"/>
    <w:rsid w:val="00531285"/>
    <w:rsid w:val="005317A8"/>
    <w:rsid w:val="00531A79"/>
    <w:rsid w:val="00531B0E"/>
    <w:rsid w:val="00531F59"/>
    <w:rsid w:val="00532146"/>
    <w:rsid w:val="0053222B"/>
    <w:rsid w:val="005323E1"/>
    <w:rsid w:val="00532542"/>
    <w:rsid w:val="005328B6"/>
    <w:rsid w:val="00532B29"/>
    <w:rsid w:val="00532ECE"/>
    <w:rsid w:val="00533942"/>
    <w:rsid w:val="00533E76"/>
    <w:rsid w:val="00533FA9"/>
    <w:rsid w:val="00534377"/>
    <w:rsid w:val="005345E5"/>
    <w:rsid w:val="00534E76"/>
    <w:rsid w:val="00535609"/>
    <w:rsid w:val="00536A7F"/>
    <w:rsid w:val="00536ABD"/>
    <w:rsid w:val="00536C9D"/>
    <w:rsid w:val="00536EA2"/>
    <w:rsid w:val="0053794D"/>
    <w:rsid w:val="0054146A"/>
    <w:rsid w:val="0054306D"/>
    <w:rsid w:val="00543325"/>
    <w:rsid w:val="00544F3A"/>
    <w:rsid w:val="0054505B"/>
    <w:rsid w:val="00545A0E"/>
    <w:rsid w:val="00545F2A"/>
    <w:rsid w:val="0054641C"/>
    <w:rsid w:val="005510CC"/>
    <w:rsid w:val="00552722"/>
    <w:rsid w:val="0055360C"/>
    <w:rsid w:val="00554A90"/>
    <w:rsid w:val="00554DEB"/>
    <w:rsid w:val="0055532B"/>
    <w:rsid w:val="00555B79"/>
    <w:rsid w:val="00556800"/>
    <w:rsid w:val="0055762C"/>
    <w:rsid w:val="00560738"/>
    <w:rsid w:val="00560D0E"/>
    <w:rsid w:val="00561825"/>
    <w:rsid w:val="00562484"/>
    <w:rsid w:val="00562A83"/>
    <w:rsid w:val="00562B8B"/>
    <w:rsid w:val="00562EEE"/>
    <w:rsid w:val="005642D4"/>
    <w:rsid w:val="00564C4A"/>
    <w:rsid w:val="00565039"/>
    <w:rsid w:val="0056510A"/>
    <w:rsid w:val="00565473"/>
    <w:rsid w:val="0056592D"/>
    <w:rsid w:val="00566C0D"/>
    <w:rsid w:val="00567928"/>
    <w:rsid w:val="00567E03"/>
    <w:rsid w:val="00567F8D"/>
    <w:rsid w:val="00570281"/>
    <w:rsid w:val="0057078A"/>
    <w:rsid w:val="00570BE8"/>
    <w:rsid w:val="00572005"/>
    <w:rsid w:val="0057203B"/>
    <w:rsid w:val="0057346C"/>
    <w:rsid w:val="005734EC"/>
    <w:rsid w:val="0057422E"/>
    <w:rsid w:val="005745E3"/>
    <w:rsid w:val="00574E7D"/>
    <w:rsid w:val="005755D5"/>
    <w:rsid w:val="00575F84"/>
    <w:rsid w:val="005762AE"/>
    <w:rsid w:val="00577C66"/>
    <w:rsid w:val="00577DBB"/>
    <w:rsid w:val="005809D5"/>
    <w:rsid w:val="005813FB"/>
    <w:rsid w:val="0058141F"/>
    <w:rsid w:val="0058165F"/>
    <w:rsid w:val="005820DF"/>
    <w:rsid w:val="005837A3"/>
    <w:rsid w:val="00583F4B"/>
    <w:rsid w:val="005855C3"/>
    <w:rsid w:val="00585A58"/>
    <w:rsid w:val="00586E80"/>
    <w:rsid w:val="00587530"/>
    <w:rsid w:val="00587574"/>
    <w:rsid w:val="0058762A"/>
    <w:rsid w:val="005878A4"/>
    <w:rsid w:val="005909A6"/>
    <w:rsid w:val="00590E0D"/>
    <w:rsid w:val="00591A4D"/>
    <w:rsid w:val="00591EB1"/>
    <w:rsid w:val="00593207"/>
    <w:rsid w:val="00594FA7"/>
    <w:rsid w:val="00596148"/>
    <w:rsid w:val="005963A4"/>
    <w:rsid w:val="00596F10"/>
    <w:rsid w:val="00597A49"/>
    <w:rsid w:val="005A0290"/>
    <w:rsid w:val="005A044B"/>
    <w:rsid w:val="005A211D"/>
    <w:rsid w:val="005A28C0"/>
    <w:rsid w:val="005A3FE6"/>
    <w:rsid w:val="005A43CC"/>
    <w:rsid w:val="005A44BF"/>
    <w:rsid w:val="005A4CD3"/>
    <w:rsid w:val="005A4FE8"/>
    <w:rsid w:val="005A522E"/>
    <w:rsid w:val="005A647B"/>
    <w:rsid w:val="005B11D0"/>
    <w:rsid w:val="005B16A8"/>
    <w:rsid w:val="005B17A7"/>
    <w:rsid w:val="005B1C12"/>
    <w:rsid w:val="005B269C"/>
    <w:rsid w:val="005B2999"/>
    <w:rsid w:val="005B2F95"/>
    <w:rsid w:val="005B3A2F"/>
    <w:rsid w:val="005B3F2A"/>
    <w:rsid w:val="005B45DE"/>
    <w:rsid w:val="005B4ADA"/>
    <w:rsid w:val="005B4E9B"/>
    <w:rsid w:val="005B58DB"/>
    <w:rsid w:val="005B691D"/>
    <w:rsid w:val="005B6E74"/>
    <w:rsid w:val="005B70A0"/>
    <w:rsid w:val="005B79CD"/>
    <w:rsid w:val="005C09EE"/>
    <w:rsid w:val="005C0A16"/>
    <w:rsid w:val="005C1C47"/>
    <w:rsid w:val="005C20D7"/>
    <w:rsid w:val="005C2194"/>
    <w:rsid w:val="005C28B3"/>
    <w:rsid w:val="005C2CFA"/>
    <w:rsid w:val="005C3989"/>
    <w:rsid w:val="005C3B84"/>
    <w:rsid w:val="005C4C61"/>
    <w:rsid w:val="005C61B5"/>
    <w:rsid w:val="005C62CD"/>
    <w:rsid w:val="005D06DB"/>
    <w:rsid w:val="005D0B02"/>
    <w:rsid w:val="005D13F2"/>
    <w:rsid w:val="005D2371"/>
    <w:rsid w:val="005D2503"/>
    <w:rsid w:val="005D27AD"/>
    <w:rsid w:val="005D3175"/>
    <w:rsid w:val="005D3DDE"/>
    <w:rsid w:val="005D48B1"/>
    <w:rsid w:val="005D51EC"/>
    <w:rsid w:val="005D54BB"/>
    <w:rsid w:val="005D556D"/>
    <w:rsid w:val="005D5F9E"/>
    <w:rsid w:val="005D640F"/>
    <w:rsid w:val="005D694B"/>
    <w:rsid w:val="005D70D7"/>
    <w:rsid w:val="005D778A"/>
    <w:rsid w:val="005D77E3"/>
    <w:rsid w:val="005E17B7"/>
    <w:rsid w:val="005E2177"/>
    <w:rsid w:val="005E2EFE"/>
    <w:rsid w:val="005E33A8"/>
    <w:rsid w:val="005E443C"/>
    <w:rsid w:val="005E578E"/>
    <w:rsid w:val="005E5D45"/>
    <w:rsid w:val="005E6086"/>
    <w:rsid w:val="005E6AE5"/>
    <w:rsid w:val="005E6E6E"/>
    <w:rsid w:val="005E6EBD"/>
    <w:rsid w:val="005E6FA2"/>
    <w:rsid w:val="005F0D78"/>
    <w:rsid w:val="005F128A"/>
    <w:rsid w:val="005F1372"/>
    <w:rsid w:val="005F1C9B"/>
    <w:rsid w:val="005F232B"/>
    <w:rsid w:val="005F2696"/>
    <w:rsid w:val="005F3C60"/>
    <w:rsid w:val="005F5198"/>
    <w:rsid w:val="005F615B"/>
    <w:rsid w:val="005F64A5"/>
    <w:rsid w:val="005F6754"/>
    <w:rsid w:val="005F7162"/>
    <w:rsid w:val="005F7DA7"/>
    <w:rsid w:val="006006DF"/>
    <w:rsid w:val="00600C16"/>
    <w:rsid w:val="00602EB8"/>
    <w:rsid w:val="00602FBC"/>
    <w:rsid w:val="00603ABB"/>
    <w:rsid w:val="00603C09"/>
    <w:rsid w:val="00603CF6"/>
    <w:rsid w:val="00604AEC"/>
    <w:rsid w:val="00604F8F"/>
    <w:rsid w:val="00605168"/>
    <w:rsid w:val="006053F7"/>
    <w:rsid w:val="0060554C"/>
    <w:rsid w:val="00605962"/>
    <w:rsid w:val="00606136"/>
    <w:rsid w:val="006071B0"/>
    <w:rsid w:val="006079DD"/>
    <w:rsid w:val="00607E4B"/>
    <w:rsid w:val="006106EE"/>
    <w:rsid w:val="006117C6"/>
    <w:rsid w:val="00611F77"/>
    <w:rsid w:val="00612577"/>
    <w:rsid w:val="0061297A"/>
    <w:rsid w:val="00614B2F"/>
    <w:rsid w:val="00614F71"/>
    <w:rsid w:val="006154F9"/>
    <w:rsid w:val="0061701A"/>
    <w:rsid w:val="006170CB"/>
    <w:rsid w:val="00617290"/>
    <w:rsid w:val="00617E5C"/>
    <w:rsid w:val="00620575"/>
    <w:rsid w:val="0062074B"/>
    <w:rsid w:val="00620B1A"/>
    <w:rsid w:val="0062216B"/>
    <w:rsid w:val="00623732"/>
    <w:rsid w:val="00623B65"/>
    <w:rsid w:val="00623C75"/>
    <w:rsid w:val="006244FB"/>
    <w:rsid w:val="00624ACA"/>
    <w:rsid w:val="00624AE7"/>
    <w:rsid w:val="006252AB"/>
    <w:rsid w:val="00625E70"/>
    <w:rsid w:val="00625F0E"/>
    <w:rsid w:val="00625FC0"/>
    <w:rsid w:val="00626AB2"/>
    <w:rsid w:val="00626FAF"/>
    <w:rsid w:val="00630599"/>
    <w:rsid w:val="00630FFA"/>
    <w:rsid w:val="0063160E"/>
    <w:rsid w:val="00631B04"/>
    <w:rsid w:val="006329FF"/>
    <w:rsid w:val="00633AF6"/>
    <w:rsid w:val="00636364"/>
    <w:rsid w:val="0063766A"/>
    <w:rsid w:val="00637AE7"/>
    <w:rsid w:val="00637B0D"/>
    <w:rsid w:val="00637CD3"/>
    <w:rsid w:val="0064014A"/>
    <w:rsid w:val="00640B93"/>
    <w:rsid w:val="00640F5F"/>
    <w:rsid w:val="006418BB"/>
    <w:rsid w:val="00641DA0"/>
    <w:rsid w:val="00642069"/>
    <w:rsid w:val="0064414F"/>
    <w:rsid w:val="0064417C"/>
    <w:rsid w:val="0064420B"/>
    <w:rsid w:val="00645108"/>
    <w:rsid w:val="00645A4B"/>
    <w:rsid w:val="00646117"/>
    <w:rsid w:val="00646AF1"/>
    <w:rsid w:val="00647050"/>
    <w:rsid w:val="006502FF"/>
    <w:rsid w:val="0065070E"/>
    <w:rsid w:val="00650874"/>
    <w:rsid w:val="006512F9"/>
    <w:rsid w:val="0065176C"/>
    <w:rsid w:val="00651998"/>
    <w:rsid w:val="00651A76"/>
    <w:rsid w:val="00652197"/>
    <w:rsid w:val="00652D7F"/>
    <w:rsid w:val="00652FAB"/>
    <w:rsid w:val="0065327D"/>
    <w:rsid w:val="00655074"/>
    <w:rsid w:val="00655487"/>
    <w:rsid w:val="006554F5"/>
    <w:rsid w:val="0065608A"/>
    <w:rsid w:val="00656AD0"/>
    <w:rsid w:val="00657BDD"/>
    <w:rsid w:val="006603F6"/>
    <w:rsid w:val="00660779"/>
    <w:rsid w:val="00661A96"/>
    <w:rsid w:val="00661C65"/>
    <w:rsid w:val="0066365C"/>
    <w:rsid w:val="0066406F"/>
    <w:rsid w:val="006642E2"/>
    <w:rsid w:val="00664FF8"/>
    <w:rsid w:val="00665005"/>
    <w:rsid w:val="006657AF"/>
    <w:rsid w:val="00665EED"/>
    <w:rsid w:val="00666431"/>
    <w:rsid w:val="0066726C"/>
    <w:rsid w:val="0066780F"/>
    <w:rsid w:val="00667B6F"/>
    <w:rsid w:val="006702AC"/>
    <w:rsid w:val="0067049B"/>
    <w:rsid w:val="00671122"/>
    <w:rsid w:val="006711CB"/>
    <w:rsid w:val="006714B3"/>
    <w:rsid w:val="00671DAB"/>
    <w:rsid w:val="00672D4E"/>
    <w:rsid w:val="00672E16"/>
    <w:rsid w:val="00672FEF"/>
    <w:rsid w:val="00673149"/>
    <w:rsid w:val="0067332E"/>
    <w:rsid w:val="00673DDC"/>
    <w:rsid w:val="006752B6"/>
    <w:rsid w:val="00675AC8"/>
    <w:rsid w:val="00675BC4"/>
    <w:rsid w:val="00675D2D"/>
    <w:rsid w:val="00676430"/>
    <w:rsid w:val="00676C2F"/>
    <w:rsid w:val="00680FBE"/>
    <w:rsid w:val="00681EC8"/>
    <w:rsid w:val="00682C9C"/>
    <w:rsid w:val="00683FDD"/>
    <w:rsid w:val="006847A3"/>
    <w:rsid w:val="00685876"/>
    <w:rsid w:val="00685D10"/>
    <w:rsid w:val="006865A9"/>
    <w:rsid w:val="00686EEB"/>
    <w:rsid w:val="00687FAE"/>
    <w:rsid w:val="006902BA"/>
    <w:rsid w:val="00690348"/>
    <w:rsid w:val="006906D8"/>
    <w:rsid w:val="00692862"/>
    <w:rsid w:val="006929C2"/>
    <w:rsid w:val="006932AE"/>
    <w:rsid w:val="006937B5"/>
    <w:rsid w:val="00693D42"/>
    <w:rsid w:val="00695290"/>
    <w:rsid w:val="00695C60"/>
    <w:rsid w:val="006965EA"/>
    <w:rsid w:val="00696B33"/>
    <w:rsid w:val="006A02B4"/>
    <w:rsid w:val="006A07BF"/>
    <w:rsid w:val="006A1F48"/>
    <w:rsid w:val="006A24BD"/>
    <w:rsid w:val="006A3481"/>
    <w:rsid w:val="006A3786"/>
    <w:rsid w:val="006A393D"/>
    <w:rsid w:val="006A3D92"/>
    <w:rsid w:val="006A5904"/>
    <w:rsid w:val="006A5A24"/>
    <w:rsid w:val="006A5C99"/>
    <w:rsid w:val="006A6C88"/>
    <w:rsid w:val="006A6D1C"/>
    <w:rsid w:val="006B08BF"/>
    <w:rsid w:val="006B0BF0"/>
    <w:rsid w:val="006B16C3"/>
    <w:rsid w:val="006B2466"/>
    <w:rsid w:val="006B2D57"/>
    <w:rsid w:val="006B50C6"/>
    <w:rsid w:val="006B764B"/>
    <w:rsid w:val="006B78F9"/>
    <w:rsid w:val="006C1DF8"/>
    <w:rsid w:val="006C241A"/>
    <w:rsid w:val="006C29B8"/>
    <w:rsid w:val="006C2E0E"/>
    <w:rsid w:val="006C30F6"/>
    <w:rsid w:val="006C4515"/>
    <w:rsid w:val="006C4F2C"/>
    <w:rsid w:val="006C50CB"/>
    <w:rsid w:val="006C50F4"/>
    <w:rsid w:val="006C57BA"/>
    <w:rsid w:val="006C6011"/>
    <w:rsid w:val="006C66CD"/>
    <w:rsid w:val="006C6BE2"/>
    <w:rsid w:val="006C6C0B"/>
    <w:rsid w:val="006C6DF3"/>
    <w:rsid w:val="006D0606"/>
    <w:rsid w:val="006D1A41"/>
    <w:rsid w:val="006D21FD"/>
    <w:rsid w:val="006D2B8C"/>
    <w:rsid w:val="006D3B49"/>
    <w:rsid w:val="006D3FDF"/>
    <w:rsid w:val="006D416C"/>
    <w:rsid w:val="006D4770"/>
    <w:rsid w:val="006D4FA1"/>
    <w:rsid w:val="006D4FF5"/>
    <w:rsid w:val="006D50A8"/>
    <w:rsid w:val="006D5CC5"/>
    <w:rsid w:val="006D6233"/>
    <w:rsid w:val="006D6C06"/>
    <w:rsid w:val="006D7C00"/>
    <w:rsid w:val="006D7CFC"/>
    <w:rsid w:val="006E03F8"/>
    <w:rsid w:val="006E05E3"/>
    <w:rsid w:val="006E1B25"/>
    <w:rsid w:val="006E1CD0"/>
    <w:rsid w:val="006E1FBC"/>
    <w:rsid w:val="006E2293"/>
    <w:rsid w:val="006E2341"/>
    <w:rsid w:val="006E281A"/>
    <w:rsid w:val="006E2C93"/>
    <w:rsid w:val="006E3397"/>
    <w:rsid w:val="006E38FB"/>
    <w:rsid w:val="006E547A"/>
    <w:rsid w:val="006E70CC"/>
    <w:rsid w:val="006E7403"/>
    <w:rsid w:val="006E79E8"/>
    <w:rsid w:val="006F08CA"/>
    <w:rsid w:val="006F2107"/>
    <w:rsid w:val="006F27C5"/>
    <w:rsid w:val="006F299F"/>
    <w:rsid w:val="006F2D0E"/>
    <w:rsid w:val="006F33CE"/>
    <w:rsid w:val="006F3569"/>
    <w:rsid w:val="006F4F98"/>
    <w:rsid w:val="006F6F4D"/>
    <w:rsid w:val="006F73AE"/>
    <w:rsid w:val="006F7724"/>
    <w:rsid w:val="006F7E2F"/>
    <w:rsid w:val="007004CB"/>
    <w:rsid w:val="007005E2"/>
    <w:rsid w:val="00700EBD"/>
    <w:rsid w:val="0070129B"/>
    <w:rsid w:val="007013DE"/>
    <w:rsid w:val="00701C1D"/>
    <w:rsid w:val="00702D72"/>
    <w:rsid w:val="007032CC"/>
    <w:rsid w:val="007042CB"/>
    <w:rsid w:val="0070525B"/>
    <w:rsid w:val="007052E7"/>
    <w:rsid w:val="00705AC3"/>
    <w:rsid w:val="00706766"/>
    <w:rsid w:val="00706977"/>
    <w:rsid w:val="007069EA"/>
    <w:rsid w:val="00707DC3"/>
    <w:rsid w:val="00711291"/>
    <w:rsid w:val="00711B55"/>
    <w:rsid w:val="0071254F"/>
    <w:rsid w:val="00712698"/>
    <w:rsid w:val="007128F5"/>
    <w:rsid w:val="00713A33"/>
    <w:rsid w:val="00713A97"/>
    <w:rsid w:val="00713CE2"/>
    <w:rsid w:val="00714542"/>
    <w:rsid w:val="00715FE5"/>
    <w:rsid w:val="00717715"/>
    <w:rsid w:val="00717934"/>
    <w:rsid w:val="00717C64"/>
    <w:rsid w:val="00717CDD"/>
    <w:rsid w:val="00720327"/>
    <w:rsid w:val="007213DE"/>
    <w:rsid w:val="007217C0"/>
    <w:rsid w:val="00722847"/>
    <w:rsid w:val="007233CC"/>
    <w:rsid w:val="00723501"/>
    <w:rsid w:val="00723754"/>
    <w:rsid w:val="00724BCF"/>
    <w:rsid w:val="007250D5"/>
    <w:rsid w:val="007257DD"/>
    <w:rsid w:val="00725AEB"/>
    <w:rsid w:val="00725F97"/>
    <w:rsid w:val="00726DE0"/>
    <w:rsid w:val="007271C9"/>
    <w:rsid w:val="00727990"/>
    <w:rsid w:val="007304BA"/>
    <w:rsid w:val="007304E4"/>
    <w:rsid w:val="00730787"/>
    <w:rsid w:val="0073113A"/>
    <w:rsid w:val="007313FA"/>
    <w:rsid w:val="007318A1"/>
    <w:rsid w:val="00731DAD"/>
    <w:rsid w:val="00733154"/>
    <w:rsid w:val="00733E9C"/>
    <w:rsid w:val="00734650"/>
    <w:rsid w:val="007346C4"/>
    <w:rsid w:val="00735AA5"/>
    <w:rsid w:val="0073663D"/>
    <w:rsid w:val="007374FD"/>
    <w:rsid w:val="007376A9"/>
    <w:rsid w:val="007378D3"/>
    <w:rsid w:val="0074054C"/>
    <w:rsid w:val="007419B8"/>
    <w:rsid w:val="00742049"/>
    <w:rsid w:val="00742FEB"/>
    <w:rsid w:val="007431AD"/>
    <w:rsid w:val="00743559"/>
    <w:rsid w:val="0074389A"/>
    <w:rsid w:val="00743B39"/>
    <w:rsid w:val="00743B9B"/>
    <w:rsid w:val="00746847"/>
    <w:rsid w:val="0074697A"/>
    <w:rsid w:val="00746E1D"/>
    <w:rsid w:val="00746F01"/>
    <w:rsid w:val="00750E6D"/>
    <w:rsid w:val="0075119E"/>
    <w:rsid w:val="0075194F"/>
    <w:rsid w:val="007524F3"/>
    <w:rsid w:val="00753B45"/>
    <w:rsid w:val="00754EF2"/>
    <w:rsid w:val="00754F85"/>
    <w:rsid w:val="007554A1"/>
    <w:rsid w:val="00757779"/>
    <w:rsid w:val="00757A35"/>
    <w:rsid w:val="00761127"/>
    <w:rsid w:val="00761505"/>
    <w:rsid w:val="00762900"/>
    <w:rsid w:val="00764851"/>
    <w:rsid w:val="0076490F"/>
    <w:rsid w:val="00764E41"/>
    <w:rsid w:val="007659A7"/>
    <w:rsid w:val="007659C0"/>
    <w:rsid w:val="00765C09"/>
    <w:rsid w:val="0076673B"/>
    <w:rsid w:val="00766A78"/>
    <w:rsid w:val="007671CA"/>
    <w:rsid w:val="00767CF2"/>
    <w:rsid w:val="00770240"/>
    <w:rsid w:val="007707D0"/>
    <w:rsid w:val="00771431"/>
    <w:rsid w:val="00771974"/>
    <w:rsid w:val="00771DCA"/>
    <w:rsid w:val="007720B9"/>
    <w:rsid w:val="007723DE"/>
    <w:rsid w:val="00772B1D"/>
    <w:rsid w:val="00772EE3"/>
    <w:rsid w:val="00772FCC"/>
    <w:rsid w:val="00775335"/>
    <w:rsid w:val="0077606F"/>
    <w:rsid w:val="00776D75"/>
    <w:rsid w:val="00777BBA"/>
    <w:rsid w:val="007808DD"/>
    <w:rsid w:val="00780F91"/>
    <w:rsid w:val="0078195C"/>
    <w:rsid w:val="007819CA"/>
    <w:rsid w:val="00781E35"/>
    <w:rsid w:val="00782641"/>
    <w:rsid w:val="007840B7"/>
    <w:rsid w:val="007841C7"/>
    <w:rsid w:val="00784A8F"/>
    <w:rsid w:val="00785689"/>
    <w:rsid w:val="00785E5D"/>
    <w:rsid w:val="00785F74"/>
    <w:rsid w:val="007875C7"/>
    <w:rsid w:val="0079014E"/>
    <w:rsid w:val="007916E9"/>
    <w:rsid w:val="007918D3"/>
    <w:rsid w:val="00793EAA"/>
    <w:rsid w:val="00795F7C"/>
    <w:rsid w:val="00796DCF"/>
    <w:rsid w:val="007970A7"/>
    <w:rsid w:val="007970FD"/>
    <w:rsid w:val="00797214"/>
    <w:rsid w:val="00797472"/>
    <w:rsid w:val="00797800"/>
    <w:rsid w:val="007978C8"/>
    <w:rsid w:val="00797C74"/>
    <w:rsid w:val="00797FEA"/>
    <w:rsid w:val="007A0541"/>
    <w:rsid w:val="007A08C1"/>
    <w:rsid w:val="007A0D0E"/>
    <w:rsid w:val="007A0DA6"/>
    <w:rsid w:val="007A14F8"/>
    <w:rsid w:val="007A150D"/>
    <w:rsid w:val="007A1652"/>
    <w:rsid w:val="007A2345"/>
    <w:rsid w:val="007A378B"/>
    <w:rsid w:val="007A3F82"/>
    <w:rsid w:val="007A4311"/>
    <w:rsid w:val="007A4AEA"/>
    <w:rsid w:val="007A504E"/>
    <w:rsid w:val="007A52EB"/>
    <w:rsid w:val="007A55A2"/>
    <w:rsid w:val="007A5AC0"/>
    <w:rsid w:val="007A636A"/>
    <w:rsid w:val="007A65D8"/>
    <w:rsid w:val="007A67FE"/>
    <w:rsid w:val="007A6E73"/>
    <w:rsid w:val="007A77BE"/>
    <w:rsid w:val="007B0D37"/>
    <w:rsid w:val="007B1278"/>
    <w:rsid w:val="007B2310"/>
    <w:rsid w:val="007B27BB"/>
    <w:rsid w:val="007B2D7F"/>
    <w:rsid w:val="007B3292"/>
    <w:rsid w:val="007B3469"/>
    <w:rsid w:val="007B44A3"/>
    <w:rsid w:val="007B4793"/>
    <w:rsid w:val="007B579B"/>
    <w:rsid w:val="007B6D9D"/>
    <w:rsid w:val="007B74B0"/>
    <w:rsid w:val="007B7EAF"/>
    <w:rsid w:val="007C06E3"/>
    <w:rsid w:val="007C155F"/>
    <w:rsid w:val="007C2397"/>
    <w:rsid w:val="007C2879"/>
    <w:rsid w:val="007C2C73"/>
    <w:rsid w:val="007C34BE"/>
    <w:rsid w:val="007C4832"/>
    <w:rsid w:val="007C5E66"/>
    <w:rsid w:val="007C6EE1"/>
    <w:rsid w:val="007C79D7"/>
    <w:rsid w:val="007D00F9"/>
    <w:rsid w:val="007D16B0"/>
    <w:rsid w:val="007D1BA5"/>
    <w:rsid w:val="007D27EE"/>
    <w:rsid w:val="007D30F6"/>
    <w:rsid w:val="007D385A"/>
    <w:rsid w:val="007D3DC9"/>
    <w:rsid w:val="007D40DA"/>
    <w:rsid w:val="007D4135"/>
    <w:rsid w:val="007D465B"/>
    <w:rsid w:val="007D4725"/>
    <w:rsid w:val="007D49B6"/>
    <w:rsid w:val="007D49E0"/>
    <w:rsid w:val="007D5835"/>
    <w:rsid w:val="007D5928"/>
    <w:rsid w:val="007D5C26"/>
    <w:rsid w:val="007D5DAE"/>
    <w:rsid w:val="007D5DBC"/>
    <w:rsid w:val="007D6329"/>
    <w:rsid w:val="007D6646"/>
    <w:rsid w:val="007D6BA6"/>
    <w:rsid w:val="007D6C5B"/>
    <w:rsid w:val="007D6F23"/>
    <w:rsid w:val="007E1239"/>
    <w:rsid w:val="007E15D3"/>
    <w:rsid w:val="007E1885"/>
    <w:rsid w:val="007E206B"/>
    <w:rsid w:val="007E326B"/>
    <w:rsid w:val="007E3357"/>
    <w:rsid w:val="007E3DB5"/>
    <w:rsid w:val="007E4133"/>
    <w:rsid w:val="007E51BB"/>
    <w:rsid w:val="007E592F"/>
    <w:rsid w:val="007E599E"/>
    <w:rsid w:val="007E6DC8"/>
    <w:rsid w:val="007E6E33"/>
    <w:rsid w:val="007E7149"/>
    <w:rsid w:val="007E726B"/>
    <w:rsid w:val="007E7685"/>
    <w:rsid w:val="007E77AC"/>
    <w:rsid w:val="007F0F8F"/>
    <w:rsid w:val="007F35D0"/>
    <w:rsid w:val="007F35EE"/>
    <w:rsid w:val="007F4E52"/>
    <w:rsid w:val="007F5DE2"/>
    <w:rsid w:val="007F68F8"/>
    <w:rsid w:val="008005A1"/>
    <w:rsid w:val="008007FE"/>
    <w:rsid w:val="00800C2F"/>
    <w:rsid w:val="00800E68"/>
    <w:rsid w:val="0080108A"/>
    <w:rsid w:val="0080123E"/>
    <w:rsid w:val="008016CA"/>
    <w:rsid w:val="0080271E"/>
    <w:rsid w:val="0080280E"/>
    <w:rsid w:val="008037AD"/>
    <w:rsid w:val="00804770"/>
    <w:rsid w:val="00804B99"/>
    <w:rsid w:val="00805383"/>
    <w:rsid w:val="00805786"/>
    <w:rsid w:val="0080578D"/>
    <w:rsid w:val="00805CA3"/>
    <w:rsid w:val="00806875"/>
    <w:rsid w:val="00806A38"/>
    <w:rsid w:val="00807929"/>
    <w:rsid w:val="00807AD1"/>
    <w:rsid w:val="0081000B"/>
    <w:rsid w:val="00810577"/>
    <w:rsid w:val="008107AA"/>
    <w:rsid w:val="00810DDB"/>
    <w:rsid w:val="00810ECA"/>
    <w:rsid w:val="008113E1"/>
    <w:rsid w:val="008148AF"/>
    <w:rsid w:val="00815B81"/>
    <w:rsid w:val="00815E08"/>
    <w:rsid w:val="0081728D"/>
    <w:rsid w:val="0082027E"/>
    <w:rsid w:val="00820500"/>
    <w:rsid w:val="008205C1"/>
    <w:rsid w:val="00820B41"/>
    <w:rsid w:val="00820F67"/>
    <w:rsid w:val="00821489"/>
    <w:rsid w:val="0082156F"/>
    <w:rsid w:val="00823071"/>
    <w:rsid w:val="008230D1"/>
    <w:rsid w:val="00823EA5"/>
    <w:rsid w:val="00824CBD"/>
    <w:rsid w:val="00825404"/>
    <w:rsid w:val="00825449"/>
    <w:rsid w:val="00826E7F"/>
    <w:rsid w:val="00827255"/>
    <w:rsid w:val="00827B77"/>
    <w:rsid w:val="00827BAC"/>
    <w:rsid w:val="0083147E"/>
    <w:rsid w:val="00831FBB"/>
    <w:rsid w:val="00831FEF"/>
    <w:rsid w:val="00832BEF"/>
    <w:rsid w:val="00834276"/>
    <w:rsid w:val="0083453B"/>
    <w:rsid w:val="00834544"/>
    <w:rsid w:val="008364A9"/>
    <w:rsid w:val="00837085"/>
    <w:rsid w:val="00837CB6"/>
    <w:rsid w:val="00840281"/>
    <w:rsid w:val="0084097A"/>
    <w:rsid w:val="00840BC8"/>
    <w:rsid w:val="0084179B"/>
    <w:rsid w:val="008440A7"/>
    <w:rsid w:val="00844FF3"/>
    <w:rsid w:val="008451DF"/>
    <w:rsid w:val="0084570E"/>
    <w:rsid w:val="0084602B"/>
    <w:rsid w:val="00847013"/>
    <w:rsid w:val="00851B13"/>
    <w:rsid w:val="00852778"/>
    <w:rsid w:val="00853021"/>
    <w:rsid w:val="008531BB"/>
    <w:rsid w:val="00853236"/>
    <w:rsid w:val="00854D50"/>
    <w:rsid w:val="00855A99"/>
    <w:rsid w:val="00855C35"/>
    <w:rsid w:val="008572BD"/>
    <w:rsid w:val="00857D0F"/>
    <w:rsid w:val="00860968"/>
    <w:rsid w:val="00860AA5"/>
    <w:rsid w:val="00860BA5"/>
    <w:rsid w:val="00861748"/>
    <w:rsid w:val="00861A99"/>
    <w:rsid w:val="00861CAB"/>
    <w:rsid w:val="0086251D"/>
    <w:rsid w:val="00862DDE"/>
    <w:rsid w:val="00864946"/>
    <w:rsid w:val="00865683"/>
    <w:rsid w:val="00865DB5"/>
    <w:rsid w:val="00866036"/>
    <w:rsid w:val="00866869"/>
    <w:rsid w:val="00870CE0"/>
    <w:rsid w:val="00873BA6"/>
    <w:rsid w:val="00874863"/>
    <w:rsid w:val="008758C5"/>
    <w:rsid w:val="00877696"/>
    <w:rsid w:val="00880404"/>
    <w:rsid w:val="008821C4"/>
    <w:rsid w:val="00882FBE"/>
    <w:rsid w:val="00883108"/>
    <w:rsid w:val="00884BB9"/>
    <w:rsid w:val="0088650D"/>
    <w:rsid w:val="00886A68"/>
    <w:rsid w:val="00886CE1"/>
    <w:rsid w:val="00886F27"/>
    <w:rsid w:val="0088731E"/>
    <w:rsid w:val="008902A3"/>
    <w:rsid w:val="0089031B"/>
    <w:rsid w:val="0089056E"/>
    <w:rsid w:val="00890E2C"/>
    <w:rsid w:val="0089120A"/>
    <w:rsid w:val="0089137F"/>
    <w:rsid w:val="00891415"/>
    <w:rsid w:val="00891422"/>
    <w:rsid w:val="00891710"/>
    <w:rsid w:val="00891F3F"/>
    <w:rsid w:val="008936BC"/>
    <w:rsid w:val="00893E33"/>
    <w:rsid w:val="00894D59"/>
    <w:rsid w:val="00895309"/>
    <w:rsid w:val="00895736"/>
    <w:rsid w:val="008958A6"/>
    <w:rsid w:val="00895E95"/>
    <w:rsid w:val="0089642D"/>
    <w:rsid w:val="008968FB"/>
    <w:rsid w:val="00896AB2"/>
    <w:rsid w:val="00896C6B"/>
    <w:rsid w:val="00897A92"/>
    <w:rsid w:val="008A06CE"/>
    <w:rsid w:val="008A118C"/>
    <w:rsid w:val="008A1976"/>
    <w:rsid w:val="008A1EF4"/>
    <w:rsid w:val="008A1FD1"/>
    <w:rsid w:val="008A27A5"/>
    <w:rsid w:val="008A3664"/>
    <w:rsid w:val="008A4624"/>
    <w:rsid w:val="008A4DC7"/>
    <w:rsid w:val="008A52C5"/>
    <w:rsid w:val="008A62F8"/>
    <w:rsid w:val="008A6577"/>
    <w:rsid w:val="008A659C"/>
    <w:rsid w:val="008A6A34"/>
    <w:rsid w:val="008A6B4E"/>
    <w:rsid w:val="008A6EDD"/>
    <w:rsid w:val="008A7498"/>
    <w:rsid w:val="008B0C6D"/>
    <w:rsid w:val="008B16E8"/>
    <w:rsid w:val="008B22DE"/>
    <w:rsid w:val="008B291E"/>
    <w:rsid w:val="008B2CA6"/>
    <w:rsid w:val="008B4AC5"/>
    <w:rsid w:val="008B5498"/>
    <w:rsid w:val="008B5AAC"/>
    <w:rsid w:val="008B5C98"/>
    <w:rsid w:val="008B632C"/>
    <w:rsid w:val="008B747B"/>
    <w:rsid w:val="008B784B"/>
    <w:rsid w:val="008C0624"/>
    <w:rsid w:val="008C0E9D"/>
    <w:rsid w:val="008C161E"/>
    <w:rsid w:val="008C1CFE"/>
    <w:rsid w:val="008C1E84"/>
    <w:rsid w:val="008C2D90"/>
    <w:rsid w:val="008C35F3"/>
    <w:rsid w:val="008C4226"/>
    <w:rsid w:val="008C4438"/>
    <w:rsid w:val="008C5208"/>
    <w:rsid w:val="008C53C4"/>
    <w:rsid w:val="008C545B"/>
    <w:rsid w:val="008C5BE4"/>
    <w:rsid w:val="008C5DEA"/>
    <w:rsid w:val="008C63F9"/>
    <w:rsid w:val="008C6DF7"/>
    <w:rsid w:val="008D07FF"/>
    <w:rsid w:val="008D1088"/>
    <w:rsid w:val="008D2C23"/>
    <w:rsid w:val="008D3BBB"/>
    <w:rsid w:val="008D4090"/>
    <w:rsid w:val="008D42D2"/>
    <w:rsid w:val="008D4990"/>
    <w:rsid w:val="008D5267"/>
    <w:rsid w:val="008D5EED"/>
    <w:rsid w:val="008D6753"/>
    <w:rsid w:val="008D6A51"/>
    <w:rsid w:val="008E0144"/>
    <w:rsid w:val="008E2D75"/>
    <w:rsid w:val="008E2E90"/>
    <w:rsid w:val="008E2FCC"/>
    <w:rsid w:val="008E31BF"/>
    <w:rsid w:val="008E3774"/>
    <w:rsid w:val="008E3E59"/>
    <w:rsid w:val="008E491B"/>
    <w:rsid w:val="008E4D56"/>
    <w:rsid w:val="008E5010"/>
    <w:rsid w:val="008E5E13"/>
    <w:rsid w:val="008E5EC7"/>
    <w:rsid w:val="008E6404"/>
    <w:rsid w:val="008E66FA"/>
    <w:rsid w:val="008E79E7"/>
    <w:rsid w:val="008F02CB"/>
    <w:rsid w:val="008F06DE"/>
    <w:rsid w:val="008F0737"/>
    <w:rsid w:val="008F0A26"/>
    <w:rsid w:val="008F0CD4"/>
    <w:rsid w:val="008F1026"/>
    <w:rsid w:val="008F1405"/>
    <w:rsid w:val="008F1486"/>
    <w:rsid w:val="008F1C60"/>
    <w:rsid w:val="008F273A"/>
    <w:rsid w:val="008F2A97"/>
    <w:rsid w:val="008F2CF2"/>
    <w:rsid w:val="008F3928"/>
    <w:rsid w:val="008F3A11"/>
    <w:rsid w:val="008F4776"/>
    <w:rsid w:val="008F4808"/>
    <w:rsid w:val="008F4B08"/>
    <w:rsid w:val="008F5941"/>
    <w:rsid w:val="008F5AE4"/>
    <w:rsid w:val="008F5AF5"/>
    <w:rsid w:val="008F60CC"/>
    <w:rsid w:val="008F622E"/>
    <w:rsid w:val="008F66D8"/>
    <w:rsid w:val="008F69FC"/>
    <w:rsid w:val="008F7E48"/>
    <w:rsid w:val="00900724"/>
    <w:rsid w:val="00902A64"/>
    <w:rsid w:val="00902AB1"/>
    <w:rsid w:val="0090313B"/>
    <w:rsid w:val="0090350B"/>
    <w:rsid w:val="00904D66"/>
    <w:rsid w:val="00905BA4"/>
    <w:rsid w:val="00906387"/>
    <w:rsid w:val="009069A7"/>
    <w:rsid w:val="0091023E"/>
    <w:rsid w:val="00910613"/>
    <w:rsid w:val="0091094D"/>
    <w:rsid w:val="0091095B"/>
    <w:rsid w:val="00911EC5"/>
    <w:rsid w:val="00912563"/>
    <w:rsid w:val="00912718"/>
    <w:rsid w:val="0091284B"/>
    <w:rsid w:val="00912A5E"/>
    <w:rsid w:val="00912DCD"/>
    <w:rsid w:val="00913089"/>
    <w:rsid w:val="00913AE7"/>
    <w:rsid w:val="00913F87"/>
    <w:rsid w:val="009149A8"/>
    <w:rsid w:val="00914EC9"/>
    <w:rsid w:val="009159D1"/>
    <w:rsid w:val="009165C0"/>
    <w:rsid w:val="00916994"/>
    <w:rsid w:val="00916D07"/>
    <w:rsid w:val="00920318"/>
    <w:rsid w:val="009206AF"/>
    <w:rsid w:val="00921338"/>
    <w:rsid w:val="00921A6D"/>
    <w:rsid w:val="009221FE"/>
    <w:rsid w:val="009225D7"/>
    <w:rsid w:val="00925BF7"/>
    <w:rsid w:val="00926738"/>
    <w:rsid w:val="00926834"/>
    <w:rsid w:val="009268ED"/>
    <w:rsid w:val="00926A4B"/>
    <w:rsid w:val="00926F2B"/>
    <w:rsid w:val="009276CA"/>
    <w:rsid w:val="00927F59"/>
    <w:rsid w:val="00930C66"/>
    <w:rsid w:val="00930E72"/>
    <w:rsid w:val="00930E8D"/>
    <w:rsid w:val="0093131E"/>
    <w:rsid w:val="00931ADF"/>
    <w:rsid w:val="00932332"/>
    <w:rsid w:val="009330BE"/>
    <w:rsid w:val="00933282"/>
    <w:rsid w:val="0093345D"/>
    <w:rsid w:val="00933804"/>
    <w:rsid w:val="0093583D"/>
    <w:rsid w:val="0093678F"/>
    <w:rsid w:val="00936A60"/>
    <w:rsid w:val="00937EE4"/>
    <w:rsid w:val="0094025B"/>
    <w:rsid w:val="00940EDD"/>
    <w:rsid w:val="00941343"/>
    <w:rsid w:val="009418D9"/>
    <w:rsid w:val="00941B67"/>
    <w:rsid w:val="00941D91"/>
    <w:rsid w:val="00942807"/>
    <w:rsid w:val="009444A4"/>
    <w:rsid w:val="009448F0"/>
    <w:rsid w:val="00944971"/>
    <w:rsid w:val="00944AA4"/>
    <w:rsid w:val="009451E8"/>
    <w:rsid w:val="00945953"/>
    <w:rsid w:val="00946549"/>
    <w:rsid w:val="009465F3"/>
    <w:rsid w:val="009466C8"/>
    <w:rsid w:val="00947ACE"/>
    <w:rsid w:val="00947CD2"/>
    <w:rsid w:val="00947EAC"/>
    <w:rsid w:val="0095007B"/>
    <w:rsid w:val="00952171"/>
    <w:rsid w:val="00952A7D"/>
    <w:rsid w:val="0095408B"/>
    <w:rsid w:val="00954A6C"/>
    <w:rsid w:val="009560A1"/>
    <w:rsid w:val="009575BF"/>
    <w:rsid w:val="00957756"/>
    <w:rsid w:val="00957A31"/>
    <w:rsid w:val="00960ADB"/>
    <w:rsid w:val="009612E5"/>
    <w:rsid w:val="0096131D"/>
    <w:rsid w:val="009613BE"/>
    <w:rsid w:val="0096273B"/>
    <w:rsid w:val="009628A6"/>
    <w:rsid w:val="00963B17"/>
    <w:rsid w:val="0096443E"/>
    <w:rsid w:val="009644BA"/>
    <w:rsid w:val="00964BA7"/>
    <w:rsid w:val="00967235"/>
    <w:rsid w:val="00967B33"/>
    <w:rsid w:val="00970378"/>
    <w:rsid w:val="0097073B"/>
    <w:rsid w:val="00970997"/>
    <w:rsid w:val="00970F20"/>
    <w:rsid w:val="00972C06"/>
    <w:rsid w:val="00973269"/>
    <w:rsid w:val="00973EB9"/>
    <w:rsid w:val="00974D78"/>
    <w:rsid w:val="00974FAA"/>
    <w:rsid w:val="009756BF"/>
    <w:rsid w:val="0097767F"/>
    <w:rsid w:val="00982206"/>
    <w:rsid w:val="00984D33"/>
    <w:rsid w:val="0098584F"/>
    <w:rsid w:val="00985CA3"/>
    <w:rsid w:val="00986F1A"/>
    <w:rsid w:val="00987969"/>
    <w:rsid w:val="00987A38"/>
    <w:rsid w:val="0099014E"/>
    <w:rsid w:val="0099027E"/>
    <w:rsid w:val="0099038A"/>
    <w:rsid w:val="00991BA4"/>
    <w:rsid w:val="009925BE"/>
    <w:rsid w:val="00992A33"/>
    <w:rsid w:val="00992F33"/>
    <w:rsid w:val="009933C9"/>
    <w:rsid w:val="00993CA8"/>
    <w:rsid w:val="00993E36"/>
    <w:rsid w:val="00994C0D"/>
    <w:rsid w:val="00995DAB"/>
    <w:rsid w:val="00996876"/>
    <w:rsid w:val="00996EA7"/>
    <w:rsid w:val="00997E47"/>
    <w:rsid w:val="00997E98"/>
    <w:rsid w:val="009A0199"/>
    <w:rsid w:val="009A0C48"/>
    <w:rsid w:val="009A198A"/>
    <w:rsid w:val="009A2198"/>
    <w:rsid w:val="009A2B8D"/>
    <w:rsid w:val="009A354B"/>
    <w:rsid w:val="009A4274"/>
    <w:rsid w:val="009A5098"/>
    <w:rsid w:val="009A5424"/>
    <w:rsid w:val="009A5826"/>
    <w:rsid w:val="009A5AC3"/>
    <w:rsid w:val="009A6172"/>
    <w:rsid w:val="009A678D"/>
    <w:rsid w:val="009A6F29"/>
    <w:rsid w:val="009A6F7D"/>
    <w:rsid w:val="009A7266"/>
    <w:rsid w:val="009A7FB6"/>
    <w:rsid w:val="009B0082"/>
    <w:rsid w:val="009B07E5"/>
    <w:rsid w:val="009B0AA3"/>
    <w:rsid w:val="009B1515"/>
    <w:rsid w:val="009B2040"/>
    <w:rsid w:val="009B2C7C"/>
    <w:rsid w:val="009B317F"/>
    <w:rsid w:val="009B4753"/>
    <w:rsid w:val="009B5D84"/>
    <w:rsid w:val="009B65BF"/>
    <w:rsid w:val="009C01C5"/>
    <w:rsid w:val="009C06CB"/>
    <w:rsid w:val="009C1CD7"/>
    <w:rsid w:val="009C37B3"/>
    <w:rsid w:val="009C3DD4"/>
    <w:rsid w:val="009C4862"/>
    <w:rsid w:val="009C5AE6"/>
    <w:rsid w:val="009C5C5C"/>
    <w:rsid w:val="009C5D39"/>
    <w:rsid w:val="009C6067"/>
    <w:rsid w:val="009D0249"/>
    <w:rsid w:val="009D042C"/>
    <w:rsid w:val="009D0D3A"/>
    <w:rsid w:val="009D129E"/>
    <w:rsid w:val="009D15A8"/>
    <w:rsid w:val="009D1EF3"/>
    <w:rsid w:val="009D2780"/>
    <w:rsid w:val="009D29B6"/>
    <w:rsid w:val="009D4041"/>
    <w:rsid w:val="009D426F"/>
    <w:rsid w:val="009D4349"/>
    <w:rsid w:val="009D4414"/>
    <w:rsid w:val="009D488B"/>
    <w:rsid w:val="009D4963"/>
    <w:rsid w:val="009D5F3A"/>
    <w:rsid w:val="009D5F3F"/>
    <w:rsid w:val="009E1680"/>
    <w:rsid w:val="009E1B2F"/>
    <w:rsid w:val="009E1C0D"/>
    <w:rsid w:val="009E20EE"/>
    <w:rsid w:val="009E2AAD"/>
    <w:rsid w:val="009E3051"/>
    <w:rsid w:val="009E3BDF"/>
    <w:rsid w:val="009E4115"/>
    <w:rsid w:val="009E4994"/>
    <w:rsid w:val="009E6EE8"/>
    <w:rsid w:val="009E79A2"/>
    <w:rsid w:val="009E7A92"/>
    <w:rsid w:val="009F0578"/>
    <w:rsid w:val="009F11BB"/>
    <w:rsid w:val="009F1A3E"/>
    <w:rsid w:val="009F24BA"/>
    <w:rsid w:val="009F33A0"/>
    <w:rsid w:val="009F3CEC"/>
    <w:rsid w:val="009F3FB5"/>
    <w:rsid w:val="009F4177"/>
    <w:rsid w:val="009F4677"/>
    <w:rsid w:val="009F502E"/>
    <w:rsid w:val="009F5D05"/>
    <w:rsid w:val="009F746C"/>
    <w:rsid w:val="00A00951"/>
    <w:rsid w:val="00A01DF3"/>
    <w:rsid w:val="00A02B46"/>
    <w:rsid w:val="00A02D18"/>
    <w:rsid w:val="00A031A2"/>
    <w:rsid w:val="00A03278"/>
    <w:rsid w:val="00A036C9"/>
    <w:rsid w:val="00A05ED2"/>
    <w:rsid w:val="00A06321"/>
    <w:rsid w:val="00A06C8D"/>
    <w:rsid w:val="00A075F2"/>
    <w:rsid w:val="00A0778A"/>
    <w:rsid w:val="00A1002E"/>
    <w:rsid w:val="00A10EDB"/>
    <w:rsid w:val="00A1103F"/>
    <w:rsid w:val="00A1269A"/>
    <w:rsid w:val="00A12DBF"/>
    <w:rsid w:val="00A12E42"/>
    <w:rsid w:val="00A13036"/>
    <w:rsid w:val="00A13272"/>
    <w:rsid w:val="00A14409"/>
    <w:rsid w:val="00A1558B"/>
    <w:rsid w:val="00A159E1"/>
    <w:rsid w:val="00A15A96"/>
    <w:rsid w:val="00A17631"/>
    <w:rsid w:val="00A204CA"/>
    <w:rsid w:val="00A20A56"/>
    <w:rsid w:val="00A20FF6"/>
    <w:rsid w:val="00A2175B"/>
    <w:rsid w:val="00A21A3D"/>
    <w:rsid w:val="00A2361C"/>
    <w:rsid w:val="00A23E88"/>
    <w:rsid w:val="00A241D4"/>
    <w:rsid w:val="00A24D37"/>
    <w:rsid w:val="00A251CC"/>
    <w:rsid w:val="00A25220"/>
    <w:rsid w:val="00A2530E"/>
    <w:rsid w:val="00A25828"/>
    <w:rsid w:val="00A25F5A"/>
    <w:rsid w:val="00A26965"/>
    <w:rsid w:val="00A26A26"/>
    <w:rsid w:val="00A271D7"/>
    <w:rsid w:val="00A27363"/>
    <w:rsid w:val="00A279AC"/>
    <w:rsid w:val="00A30C58"/>
    <w:rsid w:val="00A3226C"/>
    <w:rsid w:val="00A326AE"/>
    <w:rsid w:val="00A329B4"/>
    <w:rsid w:val="00A32C37"/>
    <w:rsid w:val="00A34032"/>
    <w:rsid w:val="00A342DA"/>
    <w:rsid w:val="00A348CA"/>
    <w:rsid w:val="00A3491F"/>
    <w:rsid w:val="00A34A63"/>
    <w:rsid w:val="00A355D6"/>
    <w:rsid w:val="00A36031"/>
    <w:rsid w:val="00A36374"/>
    <w:rsid w:val="00A3641B"/>
    <w:rsid w:val="00A3660E"/>
    <w:rsid w:val="00A36A63"/>
    <w:rsid w:val="00A37957"/>
    <w:rsid w:val="00A37B29"/>
    <w:rsid w:val="00A40FA4"/>
    <w:rsid w:val="00A42303"/>
    <w:rsid w:val="00A449E1"/>
    <w:rsid w:val="00A44AB5"/>
    <w:rsid w:val="00A44C0B"/>
    <w:rsid w:val="00A4693B"/>
    <w:rsid w:val="00A46A5B"/>
    <w:rsid w:val="00A471CD"/>
    <w:rsid w:val="00A4799F"/>
    <w:rsid w:val="00A5173D"/>
    <w:rsid w:val="00A52F4A"/>
    <w:rsid w:val="00A54F8F"/>
    <w:rsid w:val="00A54FF0"/>
    <w:rsid w:val="00A55420"/>
    <w:rsid w:val="00A55CEE"/>
    <w:rsid w:val="00A56202"/>
    <w:rsid w:val="00A573C9"/>
    <w:rsid w:val="00A60179"/>
    <w:rsid w:val="00A603D7"/>
    <w:rsid w:val="00A60D8E"/>
    <w:rsid w:val="00A61988"/>
    <w:rsid w:val="00A6382E"/>
    <w:rsid w:val="00A63BD7"/>
    <w:rsid w:val="00A63E43"/>
    <w:rsid w:val="00A64850"/>
    <w:rsid w:val="00A649A3"/>
    <w:rsid w:val="00A65806"/>
    <w:rsid w:val="00A664FB"/>
    <w:rsid w:val="00A708D9"/>
    <w:rsid w:val="00A70954"/>
    <w:rsid w:val="00A72CF5"/>
    <w:rsid w:val="00A7521D"/>
    <w:rsid w:val="00A75789"/>
    <w:rsid w:val="00A77262"/>
    <w:rsid w:val="00A774FC"/>
    <w:rsid w:val="00A77E68"/>
    <w:rsid w:val="00A82D37"/>
    <w:rsid w:val="00A84034"/>
    <w:rsid w:val="00A84172"/>
    <w:rsid w:val="00A848B2"/>
    <w:rsid w:val="00A84BAE"/>
    <w:rsid w:val="00A856EE"/>
    <w:rsid w:val="00A86CF0"/>
    <w:rsid w:val="00A86E2B"/>
    <w:rsid w:val="00A901F7"/>
    <w:rsid w:val="00A90DDD"/>
    <w:rsid w:val="00A913EB"/>
    <w:rsid w:val="00A91600"/>
    <w:rsid w:val="00A9242B"/>
    <w:rsid w:val="00A933A0"/>
    <w:rsid w:val="00A93483"/>
    <w:rsid w:val="00A93DA6"/>
    <w:rsid w:val="00A94121"/>
    <w:rsid w:val="00A94F95"/>
    <w:rsid w:val="00A951B1"/>
    <w:rsid w:val="00A9582D"/>
    <w:rsid w:val="00A95B78"/>
    <w:rsid w:val="00A961BF"/>
    <w:rsid w:val="00A96959"/>
    <w:rsid w:val="00A96FE4"/>
    <w:rsid w:val="00A97936"/>
    <w:rsid w:val="00A97F96"/>
    <w:rsid w:val="00AA06CD"/>
    <w:rsid w:val="00AA1929"/>
    <w:rsid w:val="00AA1D85"/>
    <w:rsid w:val="00AA1E9A"/>
    <w:rsid w:val="00AA2C14"/>
    <w:rsid w:val="00AA497D"/>
    <w:rsid w:val="00AA4E5B"/>
    <w:rsid w:val="00AA5107"/>
    <w:rsid w:val="00AA5911"/>
    <w:rsid w:val="00AA5AAD"/>
    <w:rsid w:val="00AA772F"/>
    <w:rsid w:val="00AA77FB"/>
    <w:rsid w:val="00AA7B2B"/>
    <w:rsid w:val="00AB0DED"/>
    <w:rsid w:val="00AB1076"/>
    <w:rsid w:val="00AB191F"/>
    <w:rsid w:val="00AB1C15"/>
    <w:rsid w:val="00AB1CF6"/>
    <w:rsid w:val="00AB1F29"/>
    <w:rsid w:val="00AB24E4"/>
    <w:rsid w:val="00AB293D"/>
    <w:rsid w:val="00AB29FF"/>
    <w:rsid w:val="00AB3220"/>
    <w:rsid w:val="00AB353E"/>
    <w:rsid w:val="00AB4302"/>
    <w:rsid w:val="00AB43A5"/>
    <w:rsid w:val="00AB4E78"/>
    <w:rsid w:val="00AB5FFA"/>
    <w:rsid w:val="00AB68BC"/>
    <w:rsid w:val="00AB6E07"/>
    <w:rsid w:val="00AC0000"/>
    <w:rsid w:val="00AC0AD5"/>
    <w:rsid w:val="00AC14DD"/>
    <w:rsid w:val="00AC1E73"/>
    <w:rsid w:val="00AC3778"/>
    <w:rsid w:val="00AC44D4"/>
    <w:rsid w:val="00AC4A68"/>
    <w:rsid w:val="00AC5582"/>
    <w:rsid w:val="00AC5D11"/>
    <w:rsid w:val="00AC5FDF"/>
    <w:rsid w:val="00AC6464"/>
    <w:rsid w:val="00AC6DC8"/>
    <w:rsid w:val="00AD06A0"/>
    <w:rsid w:val="00AD12B4"/>
    <w:rsid w:val="00AD1B5E"/>
    <w:rsid w:val="00AD20C2"/>
    <w:rsid w:val="00AD2854"/>
    <w:rsid w:val="00AD2A38"/>
    <w:rsid w:val="00AD2B32"/>
    <w:rsid w:val="00AD3738"/>
    <w:rsid w:val="00AD48A9"/>
    <w:rsid w:val="00AD4B10"/>
    <w:rsid w:val="00AD4D4B"/>
    <w:rsid w:val="00AD4EA4"/>
    <w:rsid w:val="00AD54C7"/>
    <w:rsid w:val="00AD6235"/>
    <w:rsid w:val="00AD64A0"/>
    <w:rsid w:val="00AD64E4"/>
    <w:rsid w:val="00AD6C08"/>
    <w:rsid w:val="00AD7049"/>
    <w:rsid w:val="00AD72EA"/>
    <w:rsid w:val="00AD7CCC"/>
    <w:rsid w:val="00AD7D66"/>
    <w:rsid w:val="00AE0509"/>
    <w:rsid w:val="00AE2913"/>
    <w:rsid w:val="00AE3469"/>
    <w:rsid w:val="00AE3CE2"/>
    <w:rsid w:val="00AE4F71"/>
    <w:rsid w:val="00AE5499"/>
    <w:rsid w:val="00AE5621"/>
    <w:rsid w:val="00AE57C5"/>
    <w:rsid w:val="00AE580E"/>
    <w:rsid w:val="00AE5DA7"/>
    <w:rsid w:val="00AE5FDC"/>
    <w:rsid w:val="00AE6A62"/>
    <w:rsid w:val="00AE6E2B"/>
    <w:rsid w:val="00AE7AB3"/>
    <w:rsid w:val="00AF0332"/>
    <w:rsid w:val="00AF151C"/>
    <w:rsid w:val="00AF1688"/>
    <w:rsid w:val="00AF1C1F"/>
    <w:rsid w:val="00AF302B"/>
    <w:rsid w:val="00AF3222"/>
    <w:rsid w:val="00AF4F6E"/>
    <w:rsid w:val="00AF5E17"/>
    <w:rsid w:val="00AF5E47"/>
    <w:rsid w:val="00AF7AAD"/>
    <w:rsid w:val="00B00260"/>
    <w:rsid w:val="00B0056A"/>
    <w:rsid w:val="00B00A59"/>
    <w:rsid w:val="00B03194"/>
    <w:rsid w:val="00B03993"/>
    <w:rsid w:val="00B03B64"/>
    <w:rsid w:val="00B04210"/>
    <w:rsid w:val="00B04AFD"/>
    <w:rsid w:val="00B04CAB"/>
    <w:rsid w:val="00B05889"/>
    <w:rsid w:val="00B059DD"/>
    <w:rsid w:val="00B05F45"/>
    <w:rsid w:val="00B05F65"/>
    <w:rsid w:val="00B06394"/>
    <w:rsid w:val="00B0648D"/>
    <w:rsid w:val="00B06844"/>
    <w:rsid w:val="00B105A4"/>
    <w:rsid w:val="00B108D2"/>
    <w:rsid w:val="00B10DEC"/>
    <w:rsid w:val="00B11F8F"/>
    <w:rsid w:val="00B12303"/>
    <w:rsid w:val="00B12840"/>
    <w:rsid w:val="00B1320C"/>
    <w:rsid w:val="00B13A3F"/>
    <w:rsid w:val="00B14116"/>
    <w:rsid w:val="00B14753"/>
    <w:rsid w:val="00B15258"/>
    <w:rsid w:val="00B1549C"/>
    <w:rsid w:val="00B15813"/>
    <w:rsid w:val="00B1659E"/>
    <w:rsid w:val="00B16AFB"/>
    <w:rsid w:val="00B16D6C"/>
    <w:rsid w:val="00B1739B"/>
    <w:rsid w:val="00B174D9"/>
    <w:rsid w:val="00B17A38"/>
    <w:rsid w:val="00B201B6"/>
    <w:rsid w:val="00B208EA"/>
    <w:rsid w:val="00B20CED"/>
    <w:rsid w:val="00B21150"/>
    <w:rsid w:val="00B211A8"/>
    <w:rsid w:val="00B21DCF"/>
    <w:rsid w:val="00B2208E"/>
    <w:rsid w:val="00B226EA"/>
    <w:rsid w:val="00B22F63"/>
    <w:rsid w:val="00B236F7"/>
    <w:rsid w:val="00B243C7"/>
    <w:rsid w:val="00B249D5"/>
    <w:rsid w:val="00B251C5"/>
    <w:rsid w:val="00B27E7C"/>
    <w:rsid w:val="00B3154A"/>
    <w:rsid w:val="00B31EB2"/>
    <w:rsid w:val="00B3317F"/>
    <w:rsid w:val="00B33240"/>
    <w:rsid w:val="00B34132"/>
    <w:rsid w:val="00B345E4"/>
    <w:rsid w:val="00B34D3F"/>
    <w:rsid w:val="00B34D47"/>
    <w:rsid w:val="00B35BCE"/>
    <w:rsid w:val="00B368E2"/>
    <w:rsid w:val="00B409F5"/>
    <w:rsid w:val="00B4150A"/>
    <w:rsid w:val="00B4199E"/>
    <w:rsid w:val="00B43B92"/>
    <w:rsid w:val="00B4529A"/>
    <w:rsid w:val="00B45942"/>
    <w:rsid w:val="00B45B74"/>
    <w:rsid w:val="00B45B9F"/>
    <w:rsid w:val="00B45E4A"/>
    <w:rsid w:val="00B468EA"/>
    <w:rsid w:val="00B50A18"/>
    <w:rsid w:val="00B50D5D"/>
    <w:rsid w:val="00B5199B"/>
    <w:rsid w:val="00B52342"/>
    <w:rsid w:val="00B526A1"/>
    <w:rsid w:val="00B52DA7"/>
    <w:rsid w:val="00B53AB6"/>
    <w:rsid w:val="00B53D73"/>
    <w:rsid w:val="00B53F85"/>
    <w:rsid w:val="00B548D7"/>
    <w:rsid w:val="00B54FA8"/>
    <w:rsid w:val="00B55243"/>
    <w:rsid w:val="00B566C8"/>
    <w:rsid w:val="00B57BAC"/>
    <w:rsid w:val="00B61EB9"/>
    <w:rsid w:val="00B61EFD"/>
    <w:rsid w:val="00B62258"/>
    <w:rsid w:val="00B624C3"/>
    <w:rsid w:val="00B6302C"/>
    <w:rsid w:val="00B631D6"/>
    <w:rsid w:val="00B63D06"/>
    <w:rsid w:val="00B676C9"/>
    <w:rsid w:val="00B67E63"/>
    <w:rsid w:val="00B7054D"/>
    <w:rsid w:val="00B706B3"/>
    <w:rsid w:val="00B70B1A"/>
    <w:rsid w:val="00B73254"/>
    <w:rsid w:val="00B734A5"/>
    <w:rsid w:val="00B73574"/>
    <w:rsid w:val="00B73652"/>
    <w:rsid w:val="00B73B9E"/>
    <w:rsid w:val="00B761AB"/>
    <w:rsid w:val="00B7665F"/>
    <w:rsid w:val="00B77FC3"/>
    <w:rsid w:val="00B8164F"/>
    <w:rsid w:val="00B81BD9"/>
    <w:rsid w:val="00B83111"/>
    <w:rsid w:val="00B8328B"/>
    <w:rsid w:val="00B841A7"/>
    <w:rsid w:val="00B84471"/>
    <w:rsid w:val="00B8556A"/>
    <w:rsid w:val="00B857F3"/>
    <w:rsid w:val="00B865A8"/>
    <w:rsid w:val="00B874FC"/>
    <w:rsid w:val="00B87986"/>
    <w:rsid w:val="00B87BDC"/>
    <w:rsid w:val="00B87C5B"/>
    <w:rsid w:val="00B9099F"/>
    <w:rsid w:val="00B910A8"/>
    <w:rsid w:val="00B917C3"/>
    <w:rsid w:val="00B91F74"/>
    <w:rsid w:val="00B91F98"/>
    <w:rsid w:val="00B920FC"/>
    <w:rsid w:val="00B92A01"/>
    <w:rsid w:val="00B92E73"/>
    <w:rsid w:val="00B92F24"/>
    <w:rsid w:val="00B93E06"/>
    <w:rsid w:val="00B94909"/>
    <w:rsid w:val="00B95753"/>
    <w:rsid w:val="00B9582A"/>
    <w:rsid w:val="00B9633B"/>
    <w:rsid w:val="00B967BA"/>
    <w:rsid w:val="00B969B7"/>
    <w:rsid w:val="00B9701D"/>
    <w:rsid w:val="00B974A0"/>
    <w:rsid w:val="00B97552"/>
    <w:rsid w:val="00B978C8"/>
    <w:rsid w:val="00B97B0D"/>
    <w:rsid w:val="00B97B76"/>
    <w:rsid w:val="00BA1589"/>
    <w:rsid w:val="00BA1816"/>
    <w:rsid w:val="00BA20B2"/>
    <w:rsid w:val="00BA2DCA"/>
    <w:rsid w:val="00BA3A04"/>
    <w:rsid w:val="00BA450F"/>
    <w:rsid w:val="00BA4F96"/>
    <w:rsid w:val="00BA5672"/>
    <w:rsid w:val="00BA5B82"/>
    <w:rsid w:val="00BA64AB"/>
    <w:rsid w:val="00BA6511"/>
    <w:rsid w:val="00BA6D4B"/>
    <w:rsid w:val="00BA6DD0"/>
    <w:rsid w:val="00BB056E"/>
    <w:rsid w:val="00BB18CE"/>
    <w:rsid w:val="00BB1EAA"/>
    <w:rsid w:val="00BB2A05"/>
    <w:rsid w:val="00BB33B8"/>
    <w:rsid w:val="00BB3652"/>
    <w:rsid w:val="00BB3C3F"/>
    <w:rsid w:val="00BB4199"/>
    <w:rsid w:val="00BB4D73"/>
    <w:rsid w:val="00BB54AF"/>
    <w:rsid w:val="00BB6A9F"/>
    <w:rsid w:val="00BB6DFD"/>
    <w:rsid w:val="00BC08F1"/>
    <w:rsid w:val="00BC0F1B"/>
    <w:rsid w:val="00BC2B4F"/>
    <w:rsid w:val="00BC3D46"/>
    <w:rsid w:val="00BC3D97"/>
    <w:rsid w:val="00BC4609"/>
    <w:rsid w:val="00BC4BBB"/>
    <w:rsid w:val="00BC50E9"/>
    <w:rsid w:val="00BC51B9"/>
    <w:rsid w:val="00BC5967"/>
    <w:rsid w:val="00BC6875"/>
    <w:rsid w:val="00BC6C08"/>
    <w:rsid w:val="00BC7D66"/>
    <w:rsid w:val="00BD14A1"/>
    <w:rsid w:val="00BD23F2"/>
    <w:rsid w:val="00BD2CE6"/>
    <w:rsid w:val="00BD46B1"/>
    <w:rsid w:val="00BE0153"/>
    <w:rsid w:val="00BE01D7"/>
    <w:rsid w:val="00BE0DB2"/>
    <w:rsid w:val="00BE0E98"/>
    <w:rsid w:val="00BE2503"/>
    <w:rsid w:val="00BE2DD8"/>
    <w:rsid w:val="00BE3A47"/>
    <w:rsid w:val="00BE4017"/>
    <w:rsid w:val="00BE4EFE"/>
    <w:rsid w:val="00BE5150"/>
    <w:rsid w:val="00BE5F29"/>
    <w:rsid w:val="00BE76E9"/>
    <w:rsid w:val="00BF06B2"/>
    <w:rsid w:val="00BF1466"/>
    <w:rsid w:val="00BF1600"/>
    <w:rsid w:val="00BF1B9A"/>
    <w:rsid w:val="00BF1E80"/>
    <w:rsid w:val="00BF3E7C"/>
    <w:rsid w:val="00BF3F6B"/>
    <w:rsid w:val="00BF42C7"/>
    <w:rsid w:val="00BF4530"/>
    <w:rsid w:val="00BF4B85"/>
    <w:rsid w:val="00BF58B1"/>
    <w:rsid w:val="00BF5B3F"/>
    <w:rsid w:val="00BF6DCA"/>
    <w:rsid w:val="00BF6EDC"/>
    <w:rsid w:val="00BF7F77"/>
    <w:rsid w:val="00C00DCC"/>
    <w:rsid w:val="00C00F5C"/>
    <w:rsid w:val="00C04E50"/>
    <w:rsid w:val="00C04EFD"/>
    <w:rsid w:val="00C06311"/>
    <w:rsid w:val="00C073B7"/>
    <w:rsid w:val="00C078E3"/>
    <w:rsid w:val="00C07A32"/>
    <w:rsid w:val="00C07E8B"/>
    <w:rsid w:val="00C10544"/>
    <w:rsid w:val="00C113B5"/>
    <w:rsid w:val="00C12020"/>
    <w:rsid w:val="00C1303D"/>
    <w:rsid w:val="00C133D9"/>
    <w:rsid w:val="00C13676"/>
    <w:rsid w:val="00C1381E"/>
    <w:rsid w:val="00C13BB7"/>
    <w:rsid w:val="00C13D7D"/>
    <w:rsid w:val="00C13FE1"/>
    <w:rsid w:val="00C148D2"/>
    <w:rsid w:val="00C15522"/>
    <w:rsid w:val="00C16368"/>
    <w:rsid w:val="00C16959"/>
    <w:rsid w:val="00C16D2A"/>
    <w:rsid w:val="00C170E0"/>
    <w:rsid w:val="00C174BB"/>
    <w:rsid w:val="00C177B0"/>
    <w:rsid w:val="00C17A1B"/>
    <w:rsid w:val="00C20170"/>
    <w:rsid w:val="00C20436"/>
    <w:rsid w:val="00C20773"/>
    <w:rsid w:val="00C207E1"/>
    <w:rsid w:val="00C20F3F"/>
    <w:rsid w:val="00C21474"/>
    <w:rsid w:val="00C21670"/>
    <w:rsid w:val="00C21EA9"/>
    <w:rsid w:val="00C21FA3"/>
    <w:rsid w:val="00C22B30"/>
    <w:rsid w:val="00C22E7A"/>
    <w:rsid w:val="00C24F51"/>
    <w:rsid w:val="00C254F0"/>
    <w:rsid w:val="00C25732"/>
    <w:rsid w:val="00C25F83"/>
    <w:rsid w:val="00C26455"/>
    <w:rsid w:val="00C26B2A"/>
    <w:rsid w:val="00C272BA"/>
    <w:rsid w:val="00C3211F"/>
    <w:rsid w:val="00C3228F"/>
    <w:rsid w:val="00C32603"/>
    <w:rsid w:val="00C333FE"/>
    <w:rsid w:val="00C33D5F"/>
    <w:rsid w:val="00C33DCB"/>
    <w:rsid w:val="00C35439"/>
    <w:rsid w:val="00C3571E"/>
    <w:rsid w:val="00C357BA"/>
    <w:rsid w:val="00C35E7F"/>
    <w:rsid w:val="00C3602B"/>
    <w:rsid w:val="00C36487"/>
    <w:rsid w:val="00C375FA"/>
    <w:rsid w:val="00C3785B"/>
    <w:rsid w:val="00C40F23"/>
    <w:rsid w:val="00C4227B"/>
    <w:rsid w:val="00C42691"/>
    <w:rsid w:val="00C433EE"/>
    <w:rsid w:val="00C438AA"/>
    <w:rsid w:val="00C4409A"/>
    <w:rsid w:val="00C44522"/>
    <w:rsid w:val="00C447B0"/>
    <w:rsid w:val="00C44C59"/>
    <w:rsid w:val="00C44E33"/>
    <w:rsid w:val="00C46991"/>
    <w:rsid w:val="00C478B6"/>
    <w:rsid w:val="00C50D1A"/>
    <w:rsid w:val="00C50E98"/>
    <w:rsid w:val="00C510D6"/>
    <w:rsid w:val="00C5370B"/>
    <w:rsid w:val="00C5440C"/>
    <w:rsid w:val="00C5553B"/>
    <w:rsid w:val="00C55672"/>
    <w:rsid w:val="00C55751"/>
    <w:rsid w:val="00C557B7"/>
    <w:rsid w:val="00C558EC"/>
    <w:rsid w:val="00C55A91"/>
    <w:rsid w:val="00C5682A"/>
    <w:rsid w:val="00C5691B"/>
    <w:rsid w:val="00C56BBB"/>
    <w:rsid w:val="00C57249"/>
    <w:rsid w:val="00C57D13"/>
    <w:rsid w:val="00C602A5"/>
    <w:rsid w:val="00C60402"/>
    <w:rsid w:val="00C6110B"/>
    <w:rsid w:val="00C61B2F"/>
    <w:rsid w:val="00C62430"/>
    <w:rsid w:val="00C62666"/>
    <w:rsid w:val="00C6440B"/>
    <w:rsid w:val="00C647DE"/>
    <w:rsid w:val="00C65238"/>
    <w:rsid w:val="00C653F5"/>
    <w:rsid w:val="00C65D41"/>
    <w:rsid w:val="00C671C8"/>
    <w:rsid w:val="00C7118A"/>
    <w:rsid w:val="00C72A59"/>
    <w:rsid w:val="00C72E52"/>
    <w:rsid w:val="00C72EBA"/>
    <w:rsid w:val="00C72EC1"/>
    <w:rsid w:val="00C7330B"/>
    <w:rsid w:val="00C73470"/>
    <w:rsid w:val="00C73933"/>
    <w:rsid w:val="00C7414D"/>
    <w:rsid w:val="00C7526A"/>
    <w:rsid w:val="00C76B0F"/>
    <w:rsid w:val="00C76C21"/>
    <w:rsid w:val="00C7712A"/>
    <w:rsid w:val="00C805F2"/>
    <w:rsid w:val="00C80939"/>
    <w:rsid w:val="00C81059"/>
    <w:rsid w:val="00C81981"/>
    <w:rsid w:val="00C82590"/>
    <w:rsid w:val="00C828A3"/>
    <w:rsid w:val="00C82E96"/>
    <w:rsid w:val="00C8395E"/>
    <w:rsid w:val="00C839D7"/>
    <w:rsid w:val="00C83EFB"/>
    <w:rsid w:val="00C84772"/>
    <w:rsid w:val="00C84A3C"/>
    <w:rsid w:val="00C851E3"/>
    <w:rsid w:val="00C85D8C"/>
    <w:rsid w:val="00C85FBF"/>
    <w:rsid w:val="00C867B7"/>
    <w:rsid w:val="00C86B81"/>
    <w:rsid w:val="00C8755C"/>
    <w:rsid w:val="00C90595"/>
    <w:rsid w:val="00C92824"/>
    <w:rsid w:val="00C928DB"/>
    <w:rsid w:val="00C9491A"/>
    <w:rsid w:val="00C9539E"/>
    <w:rsid w:val="00C956B1"/>
    <w:rsid w:val="00C95C5C"/>
    <w:rsid w:val="00C963AA"/>
    <w:rsid w:val="00C96A81"/>
    <w:rsid w:val="00CA00FE"/>
    <w:rsid w:val="00CA07AE"/>
    <w:rsid w:val="00CA0A01"/>
    <w:rsid w:val="00CA0B43"/>
    <w:rsid w:val="00CA122A"/>
    <w:rsid w:val="00CA12D0"/>
    <w:rsid w:val="00CA1B47"/>
    <w:rsid w:val="00CA1D7F"/>
    <w:rsid w:val="00CA1F50"/>
    <w:rsid w:val="00CA2205"/>
    <w:rsid w:val="00CA37AF"/>
    <w:rsid w:val="00CA4053"/>
    <w:rsid w:val="00CA4252"/>
    <w:rsid w:val="00CA49F5"/>
    <w:rsid w:val="00CA4C73"/>
    <w:rsid w:val="00CA52BC"/>
    <w:rsid w:val="00CA5BDF"/>
    <w:rsid w:val="00CA6498"/>
    <w:rsid w:val="00CA75B2"/>
    <w:rsid w:val="00CB0164"/>
    <w:rsid w:val="00CB0499"/>
    <w:rsid w:val="00CB14A2"/>
    <w:rsid w:val="00CB14D8"/>
    <w:rsid w:val="00CB18F0"/>
    <w:rsid w:val="00CB2053"/>
    <w:rsid w:val="00CB3006"/>
    <w:rsid w:val="00CB3E0D"/>
    <w:rsid w:val="00CB3F1E"/>
    <w:rsid w:val="00CB45A5"/>
    <w:rsid w:val="00CB4C94"/>
    <w:rsid w:val="00CB4F96"/>
    <w:rsid w:val="00CB515B"/>
    <w:rsid w:val="00CB539F"/>
    <w:rsid w:val="00CB585C"/>
    <w:rsid w:val="00CB5DEB"/>
    <w:rsid w:val="00CC0228"/>
    <w:rsid w:val="00CC13AC"/>
    <w:rsid w:val="00CC23F9"/>
    <w:rsid w:val="00CC29A3"/>
    <w:rsid w:val="00CC2A79"/>
    <w:rsid w:val="00CC2D58"/>
    <w:rsid w:val="00CC307B"/>
    <w:rsid w:val="00CC344D"/>
    <w:rsid w:val="00CC36D9"/>
    <w:rsid w:val="00CC3CCA"/>
    <w:rsid w:val="00CC44B1"/>
    <w:rsid w:val="00CC4F65"/>
    <w:rsid w:val="00CC5253"/>
    <w:rsid w:val="00CC5852"/>
    <w:rsid w:val="00CC5986"/>
    <w:rsid w:val="00CC5DA2"/>
    <w:rsid w:val="00CC5FE7"/>
    <w:rsid w:val="00CC6C0E"/>
    <w:rsid w:val="00CC75EF"/>
    <w:rsid w:val="00CD0096"/>
    <w:rsid w:val="00CD0280"/>
    <w:rsid w:val="00CD09EF"/>
    <w:rsid w:val="00CD1A60"/>
    <w:rsid w:val="00CD1ED4"/>
    <w:rsid w:val="00CD3005"/>
    <w:rsid w:val="00CD338A"/>
    <w:rsid w:val="00CD4CE0"/>
    <w:rsid w:val="00CD4F76"/>
    <w:rsid w:val="00CD5026"/>
    <w:rsid w:val="00CD617C"/>
    <w:rsid w:val="00CD635E"/>
    <w:rsid w:val="00CE0420"/>
    <w:rsid w:val="00CE14F7"/>
    <w:rsid w:val="00CE2BB6"/>
    <w:rsid w:val="00CE3AC6"/>
    <w:rsid w:val="00CE3B85"/>
    <w:rsid w:val="00CE5B3A"/>
    <w:rsid w:val="00CE5B96"/>
    <w:rsid w:val="00CE61E9"/>
    <w:rsid w:val="00CE6C3B"/>
    <w:rsid w:val="00CE6D27"/>
    <w:rsid w:val="00CE729C"/>
    <w:rsid w:val="00CE77BE"/>
    <w:rsid w:val="00CF0031"/>
    <w:rsid w:val="00CF0A78"/>
    <w:rsid w:val="00CF100A"/>
    <w:rsid w:val="00CF305E"/>
    <w:rsid w:val="00CF3A51"/>
    <w:rsid w:val="00CF4027"/>
    <w:rsid w:val="00CF405E"/>
    <w:rsid w:val="00CF40D0"/>
    <w:rsid w:val="00CF4C54"/>
    <w:rsid w:val="00CF55F9"/>
    <w:rsid w:val="00CF753B"/>
    <w:rsid w:val="00D00E9A"/>
    <w:rsid w:val="00D019F0"/>
    <w:rsid w:val="00D01B34"/>
    <w:rsid w:val="00D03055"/>
    <w:rsid w:val="00D0397F"/>
    <w:rsid w:val="00D03A57"/>
    <w:rsid w:val="00D041D0"/>
    <w:rsid w:val="00D0626F"/>
    <w:rsid w:val="00D06898"/>
    <w:rsid w:val="00D0695E"/>
    <w:rsid w:val="00D06F3B"/>
    <w:rsid w:val="00D07CEE"/>
    <w:rsid w:val="00D07D92"/>
    <w:rsid w:val="00D109FC"/>
    <w:rsid w:val="00D11238"/>
    <w:rsid w:val="00D11B14"/>
    <w:rsid w:val="00D132EB"/>
    <w:rsid w:val="00D13575"/>
    <w:rsid w:val="00D14BAB"/>
    <w:rsid w:val="00D15753"/>
    <w:rsid w:val="00D158F5"/>
    <w:rsid w:val="00D159AC"/>
    <w:rsid w:val="00D1604D"/>
    <w:rsid w:val="00D16173"/>
    <w:rsid w:val="00D164C0"/>
    <w:rsid w:val="00D17AF5"/>
    <w:rsid w:val="00D20041"/>
    <w:rsid w:val="00D21199"/>
    <w:rsid w:val="00D2214C"/>
    <w:rsid w:val="00D2306E"/>
    <w:rsid w:val="00D23D05"/>
    <w:rsid w:val="00D23E77"/>
    <w:rsid w:val="00D249D8"/>
    <w:rsid w:val="00D250AF"/>
    <w:rsid w:val="00D2547E"/>
    <w:rsid w:val="00D25A7A"/>
    <w:rsid w:val="00D25B4E"/>
    <w:rsid w:val="00D26524"/>
    <w:rsid w:val="00D26C63"/>
    <w:rsid w:val="00D26FD1"/>
    <w:rsid w:val="00D2728B"/>
    <w:rsid w:val="00D27FF6"/>
    <w:rsid w:val="00D300F5"/>
    <w:rsid w:val="00D307BA"/>
    <w:rsid w:val="00D32AE9"/>
    <w:rsid w:val="00D36EB1"/>
    <w:rsid w:val="00D37198"/>
    <w:rsid w:val="00D3769E"/>
    <w:rsid w:val="00D40A09"/>
    <w:rsid w:val="00D4242E"/>
    <w:rsid w:val="00D42A57"/>
    <w:rsid w:val="00D4422E"/>
    <w:rsid w:val="00D44F22"/>
    <w:rsid w:val="00D45C1E"/>
    <w:rsid w:val="00D467AE"/>
    <w:rsid w:val="00D46841"/>
    <w:rsid w:val="00D46951"/>
    <w:rsid w:val="00D472B2"/>
    <w:rsid w:val="00D5010C"/>
    <w:rsid w:val="00D50607"/>
    <w:rsid w:val="00D51B93"/>
    <w:rsid w:val="00D51B96"/>
    <w:rsid w:val="00D51DAE"/>
    <w:rsid w:val="00D5285E"/>
    <w:rsid w:val="00D5367A"/>
    <w:rsid w:val="00D5369F"/>
    <w:rsid w:val="00D54A89"/>
    <w:rsid w:val="00D54B04"/>
    <w:rsid w:val="00D5585C"/>
    <w:rsid w:val="00D55C98"/>
    <w:rsid w:val="00D55F52"/>
    <w:rsid w:val="00D561E4"/>
    <w:rsid w:val="00D56D4E"/>
    <w:rsid w:val="00D56E5C"/>
    <w:rsid w:val="00D5789C"/>
    <w:rsid w:val="00D578F9"/>
    <w:rsid w:val="00D57B51"/>
    <w:rsid w:val="00D57C41"/>
    <w:rsid w:val="00D57DC9"/>
    <w:rsid w:val="00D61EB0"/>
    <w:rsid w:val="00D621C0"/>
    <w:rsid w:val="00D62C66"/>
    <w:rsid w:val="00D62C8B"/>
    <w:rsid w:val="00D642F7"/>
    <w:rsid w:val="00D64CF4"/>
    <w:rsid w:val="00D65996"/>
    <w:rsid w:val="00D65B3E"/>
    <w:rsid w:val="00D662A0"/>
    <w:rsid w:val="00D663F4"/>
    <w:rsid w:val="00D7052A"/>
    <w:rsid w:val="00D71242"/>
    <w:rsid w:val="00D71341"/>
    <w:rsid w:val="00D72793"/>
    <w:rsid w:val="00D72E18"/>
    <w:rsid w:val="00D73452"/>
    <w:rsid w:val="00D73D41"/>
    <w:rsid w:val="00D741C3"/>
    <w:rsid w:val="00D75047"/>
    <w:rsid w:val="00D757B9"/>
    <w:rsid w:val="00D762B9"/>
    <w:rsid w:val="00D76DED"/>
    <w:rsid w:val="00D77331"/>
    <w:rsid w:val="00D779D5"/>
    <w:rsid w:val="00D80547"/>
    <w:rsid w:val="00D80ED5"/>
    <w:rsid w:val="00D818E6"/>
    <w:rsid w:val="00D81A55"/>
    <w:rsid w:val="00D81F93"/>
    <w:rsid w:val="00D8221C"/>
    <w:rsid w:val="00D82222"/>
    <w:rsid w:val="00D82361"/>
    <w:rsid w:val="00D82EE7"/>
    <w:rsid w:val="00D83772"/>
    <w:rsid w:val="00D83C20"/>
    <w:rsid w:val="00D84274"/>
    <w:rsid w:val="00D84987"/>
    <w:rsid w:val="00D84F75"/>
    <w:rsid w:val="00D8598F"/>
    <w:rsid w:val="00D90A32"/>
    <w:rsid w:val="00D90B63"/>
    <w:rsid w:val="00D9102E"/>
    <w:rsid w:val="00D9115D"/>
    <w:rsid w:val="00D914F5"/>
    <w:rsid w:val="00D91D97"/>
    <w:rsid w:val="00D9200D"/>
    <w:rsid w:val="00D9242B"/>
    <w:rsid w:val="00D925A6"/>
    <w:rsid w:val="00D93BA8"/>
    <w:rsid w:val="00D93D26"/>
    <w:rsid w:val="00D93D2C"/>
    <w:rsid w:val="00D94757"/>
    <w:rsid w:val="00D95DB0"/>
    <w:rsid w:val="00D96059"/>
    <w:rsid w:val="00D962EA"/>
    <w:rsid w:val="00D96546"/>
    <w:rsid w:val="00DA0AC7"/>
    <w:rsid w:val="00DA0D60"/>
    <w:rsid w:val="00DA1C74"/>
    <w:rsid w:val="00DA274F"/>
    <w:rsid w:val="00DA2BB8"/>
    <w:rsid w:val="00DA2F4D"/>
    <w:rsid w:val="00DA3D6D"/>
    <w:rsid w:val="00DA4867"/>
    <w:rsid w:val="00DA4E72"/>
    <w:rsid w:val="00DA54E2"/>
    <w:rsid w:val="00DA6145"/>
    <w:rsid w:val="00DA6551"/>
    <w:rsid w:val="00DA71F5"/>
    <w:rsid w:val="00DA7A79"/>
    <w:rsid w:val="00DB0DD9"/>
    <w:rsid w:val="00DB17A0"/>
    <w:rsid w:val="00DB21F3"/>
    <w:rsid w:val="00DB456F"/>
    <w:rsid w:val="00DB4B9A"/>
    <w:rsid w:val="00DB53F9"/>
    <w:rsid w:val="00DC0FC2"/>
    <w:rsid w:val="00DC1BDF"/>
    <w:rsid w:val="00DC2A69"/>
    <w:rsid w:val="00DC33E7"/>
    <w:rsid w:val="00DC436A"/>
    <w:rsid w:val="00DC57DF"/>
    <w:rsid w:val="00DC5AFC"/>
    <w:rsid w:val="00DC6C4D"/>
    <w:rsid w:val="00DD0502"/>
    <w:rsid w:val="00DD056F"/>
    <w:rsid w:val="00DD106D"/>
    <w:rsid w:val="00DD1A2F"/>
    <w:rsid w:val="00DD21A9"/>
    <w:rsid w:val="00DD27A7"/>
    <w:rsid w:val="00DD2965"/>
    <w:rsid w:val="00DD3229"/>
    <w:rsid w:val="00DD39EB"/>
    <w:rsid w:val="00DD4900"/>
    <w:rsid w:val="00DD4AFF"/>
    <w:rsid w:val="00DD4BE0"/>
    <w:rsid w:val="00DD578D"/>
    <w:rsid w:val="00DD5CDB"/>
    <w:rsid w:val="00DD62F0"/>
    <w:rsid w:val="00DD7CFA"/>
    <w:rsid w:val="00DE0452"/>
    <w:rsid w:val="00DE06B2"/>
    <w:rsid w:val="00DE357E"/>
    <w:rsid w:val="00DE3F0A"/>
    <w:rsid w:val="00DE4562"/>
    <w:rsid w:val="00DE49B0"/>
    <w:rsid w:val="00DE4AC4"/>
    <w:rsid w:val="00DE4BF1"/>
    <w:rsid w:val="00DE55A7"/>
    <w:rsid w:val="00DE6209"/>
    <w:rsid w:val="00DE6474"/>
    <w:rsid w:val="00DE66C2"/>
    <w:rsid w:val="00DE7758"/>
    <w:rsid w:val="00DF0385"/>
    <w:rsid w:val="00DF04CE"/>
    <w:rsid w:val="00DF0A71"/>
    <w:rsid w:val="00DF0D61"/>
    <w:rsid w:val="00DF0F26"/>
    <w:rsid w:val="00DF33CC"/>
    <w:rsid w:val="00DF3AF2"/>
    <w:rsid w:val="00DF4EBC"/>
    <w:rsid w:val="00DF4F89"/>
    <w:rsid w:val="00DF53C4"/>
    <w:rsid w:val="00DF5B9C"/>
    <w:rsid w:val="00DF5DA3"/>
    <w:rsid w:val="00DF63B0"/>
    <w:rsid w:val="00DF6C8F"/>
    <w:rsid w:val="00DF70C2"/>
    <w:rsid w:val="00DF73FC"/>
    <w:rsid w:val="00DF759A"/>
    <w:rsid w:val="00DF7AF3"/>
    <w:rsid w:val="00DF7B2B"/>
    <w:rsid w:val="00E009A7"/>
    <w:rsid w:val="00E00A05"/>
    <w:rsid w:val="00E00C0B"/>
    <w:rsid w:val="00E017A8"/>
    <w:rsid w:val="00E02818"/>
    <w:rsid w:val="00E02FFC"/>
    <w:rsid w:val="00E04164"/>
    <w:rsid w:val="00E0434F"/>
    <w:rsid w:val="00E0470B"/>
    <w:rsid w:val="00E04C96"/>
    <w:rsid w:val="00E0511A"/>
    <w:rsid w:val="00E0587F"/>
    <w:rsid w:val="00E05EF6"/>
    <w:rsid w:val="00E0652B"/>
    <w:rsid w:val="00E076B4"/>
    <w:rsid w:val="00E10775"/>
    <w:rsid w:val="00E10D81"/>
    <w:rsid w:val="00E110F4"/>
    <w:rsid w:val="00E11CB1"/>
    <w:rsid w:val="00E13C01"/>
    <w:rsid w:val="00E13E37"/>
    <w:rsid w:val="00E13EA9"/>
    <w:rsid w:val="00E14369"/>
    <w:rsid w:val="00E14F37"/>
    <w:rsid w:val="00E162C3"/>
    <w:rsid w:val="00E17C92"/>
    <w:rsid w:val="00E21D2D"/>
    <w:rsid w:val="00E2249F"/>
    <w:rsid w:val="00E23BBA"/>
    <w:rsid w:val="00E24B1D"/>
    <w:rsid w:val="00E250CA"/>
    <w:rsid w:val="00E257DA"/>
    <w:rsid w:val="00E25966"/>
    <w:rsid w:val="00E26656"/>
    <w:rsid w:val="00E2672D"/>
    <w:rsid w:val="00E27250"/>
    <w:rsid w:val="00E27263"/>
    <w:rsid w:val="00E272E7"/>
    <w:rsid w:val="00E3004D"/>
    <w:rsid w:val="00E304D6"/>
    <w:rsid w:val="00E31686"/>
    <w:rsid w:val="00E31775"/>
    <w:rsid w:val="00E317B8"/>
    <w:rsid w:val="00E32644"/>
    <w:rsid w:val="00E34557"/>
    <w:rsid w:val="00E34917"/>
    <w:rsid w:val="00E34CC6"/>
    <w:rsid w:val="00E34ED7"/>
    <w:rsid w:val="00E357F3"/>
    <w:rsid w:val="00E35C39"/>
    <w:rsid w:val="00E36C75"/>
    <w:rsid w:val="00E37325"/>
    <w:rsid w:val="00E37343"/>
    <w:rsid w:val="00E37D73"/>
    <w:rsid w:val="00E37DC7"/>
    <w:rsid w:val="00E40470"/>
    <w:rsid w:val="00E40579"/>
    <w:rsid w:val="00E40604"/>
    <w:rsid w:val="00E41E8D"/>
    <w:rsid w:val="00E43631"/>
    <w:rsid w:val="00E43D76"/>
    <w:rsid w:val="00E44826"/>
    <w:rsid w:val="00E44BE4"/>
    <w:rsid w:val="00E45077"/>
    <w:rsid w:val="00E45550"/>
    <w:rsid w:val="00E455E6"/>
    <w:rsid w:val="00E4568B"/>
    <w:rsid w:val="00E468E8"/>
    <w:rsid w:val="00E46E8A"/>
    <w:rsid w:val="00E471F0"/>
    <w:rsid w:val="00E47B7D"/>
    <w:rsid w:val="00E507D4"/>
    <w:rsid w:val="00E508A6"/>
    <w:rsid w:val="00E50DBE"/>
    <w:rsid w:val="00E50F1B"/>
    <w:rsid w:val="00E51437"/>
    <w:rsid w:val="00E518D0"/>
    <w:rsid w:val="00E51F55"/>
    <w:rsid w:val="00E532EF"/>
    <w:rsid w:val="00E541EB"/>
    <w:rsid w:val="00E559DE"/>
    <w:rsid w:val="00E60311"/>
    <w:rsid w:val="00E60867"/>
    <w:rsid w:val="00E60DBC"/>
    <w:rsid w:val="00E6137C"/>
    <w:rsid w:val="00E61DDE"/>
    <w:rsid w:val="00E6215B"/>
    <w:rsid w:val="00E6245C"/>
    <w:rsid w:val="00E6255E"/>
    <w:rsid w:val="00E628B7"/>
    <w:rsid w:val="00E62D74"/>
    <w:rsid w:val="00E6310A"/>
    <w:rsid w:val="00E63464"/>
    <w:rsid w:val="00E63496"/>
    <w:rsid w:val="00E6386F"/>
    <w:rsid w:val="00E639A7"/>
    <w:rsid w:val="00E65348"/>
    <w:rsid w:val="00E65FB8"/>
    <w:rsid w:val="00E66599"/>
    <w:rsid w:val="00E665BD"/>
    <w:rsid w:val="00E66657"/>
    <w:rsid w:val="00E6689E"/>
    <w:rsid w:val="00E703C2"/>
    <w:rsid w:val="00E70761"/>
    <w:rsid w:val="00E718A6"/>
    <w:rsid w:val="00E7281D"/>
    <w:rsid w:val="00E73C64"/>
    <w:rsid w:val="00E74B4B"/>
    <w:rsid w:val="00E75AE8"/>
    <w:rsid w:val="00E760E3"/>
    <w:rsid w:val="00E76DDA"/>
    <w:rsid w:val="00E7761A"/>
    <w:rsid w:val="00E779B8"/>
    <w:rsid w:val="00E77DCF"/>
    <w:rsid w:val="00E802A4"/>
    <w:rsid w:val="00E81891"/>
    <w:rsid w:val="00E82CBD"/>
    <w:rsid w:val="00E82CF7"/>
    <w:rsid w:val="00E8481D"/>
    <w:rsid w:val="00E84998"/>
    <w:rsid w:val="00E8551D"/>
    <w:rsid w:val="00E85A17"/>
    <w:rsid w:val="00E85F79"/>
    <w:rsid w:val="00E861D2"/>
    <w:rsid w:val="00E869E5"/>
    <w:rsid w:val="00E86E30"/>
    <w:rsid w:val="00E877AE"/>
    <w:rsid w:val="00E87815"/>
    <w:rsid w:val="00E90737"/>
    <w:rsid w:val="00E90845"/>
    <w:rsid w:val="00E91123"/>
    <w:rsid w:val="00E9198E"/>
    <w:rsid w:val="00E91BFF"/>
    <w:rsid w:val="00E91D81"/>
    <w:rsid w:val="00E91F0A"/>
    <w:rsid w:val="00E92E8C"/>
    <w:rsid w:val="00E94A07"/>
    <w:rsid w:val="00E94AAF"/>
    <w:rsid w:val="00E95454"/>
    <w:rsid w:val="00E95AB7"/>
    <w:rsid w:val="00E95E6D"/>
    <w:rsid w:val="00E95FDB"/>
    <w:rsid w:val="00EA0D11"/>
    <w:rsid w:val="00EA0F88"/>
    <w:rsid w:val="00EA196B"/>
    <w:rsid w:val="00EA2887"/>
    <w:rsid w:val="00EA3AAA"/>
    <w:rsid w:val="00EA3B10"/>
    <w:rsid w:val="00EA3C0B"/>
    <w:rsid w:val="00EA3D78"/>
    <w:rsid w:val="00EA3EF0"/>
    <w:rsid w:val="00EA494D"/>
    <w:rsid w:val="00EA49A8"/>
    <w:rsid w:val="00EA4FE4"/>
    <w:rsid w:val="00EA5733"/>
    <w:rsid w:val="00EB04B9"/>
    <w:rsid w:val="00EB0799"/>
    <w:rsid w:val="00EB2AD3"/>
    <w:rsid w:val="00EB2B43"/>
    <w:rsid w:val="00EB33C9"/>
    <w:rsid w:val="00EB368B"/>
    <w:rsid w:val="00EB377D"/>
    <w:rsid w:val="00EB3C6E"/>
    <w:rsid w:val="00EB57AB"/>
    <w:rsid w:val="00EB58A2"/>
    <w:rsid w:val="00EB7380"/>
    <w:rsid w:val="00EB79BD"/>
    <w:rsid w:val="00EC0626"/>
    <w:rsid w:val="00EC0655"/>
    <w:rsid w:val="00EC2ABA"/>
    <w:rsid w:val="00EC3386"/>
    <w:rsid w:val="00EC3B49"/>
    <w:rsid w:val="00EC551A"/>
    <w:rsid w:val="00EC573B"/>
    <w:rsid w:val="00EC5F26"/>
    <w:rsid w:val="00EC60A8"/>
    <w:rsid w:val="00EC62A8"/>
    <w:rsid w:val="00EC6526"/>
    <w:rsid w:val="00EC67E6"/>
    <w:rsid w:val="00EC7308"/>
    <w:rsid w:val="00EC7731"/>
    <w:rsid w:val="00EC7B9D"/>
    <w:rsid w:val="00ED0033"/>
    <w:rsid w:val="00ED03B7"/>
    <w:rsid w:val="00ED062E"/>
    <w:rsid w:val="00ED0A9C"/>
    <w:rsid w:val="00ED0BE1"/>
    <w:rsid w:val="00ED133B"/>
    <w:rsid w:val="00ED1687"/>
    <w:rsid w:val="00ED1790"/>
    <w:rsid w:val="00ED2A4F"/>
    <w:rsid w:val="00ED2CDE"/>
    <w:rsid w:val="00ED31F9"/>
    <w:rsid w:val="00ED32FF"/>
    <w:rsid w:val="00ED34A7"/>
    <w:rsid w:val="00ED3A6D"/>
    <w:rsid w:val="00ED3F5D"/>
    <w:rsid w:val="00ED401E"/>
    <w:rsid w:val="00ED5669"/>
    <w:rsid w:val="00ED5C35"/>
    <w:rsid w:val="00ED6DE2"/>
    <w:rsid w:val="00ED7033"/>
    <w:rsid w:val="00ED793D"/>
    <w:rsid w:val="00EE1071"/>
    <w:rsid w:val="00EE2B99"/>
    <w:rsid w:val="00EE4883"/>
    <w:rsid w:val="00EE496B"/>
    <w:rsid w:val="00EE4A88"/>
    <w:rsid w:val="00EE5982"/>
    <w:rsid w:val="00EE625C"/>
    <w:rsid w:val="00EE6A68"/>
    <w:rsid w:val="00EE6C73"/>
    <w:rsid w:val="00EE7556"/>
    <w:rsid w:val="00EF007E"/>
    <w:rsid w:val="00EF1E2A"/>
    <w:rsid w:val="00EF30A9"/>
    <w:rsid w:val="00EF37AD"/>
    <w:rsid w:val="00EF399F"/>
    <w:rsid w:val="00EF3D8D"/>
    <w:rsid w:val="00EF61F1"/>
    <w:rsid w:val="00EF704A"/>
    <w:rsid w:val="00EF72A1"/>
    <w:rsid w:val="00F0129C"/>
    <w:rsid w:val="00F01A0B"/>
    <w:rsid w:val="00F02ED2"/>
    <w:rsid w:val="00F0309F"/>
    <w:rsid w:val="00F032A6"/>
    <w:rsid w:val="00F0429B"/>
    <w:rsid w:val="00F04836"/>
    <w:rsid w:val="00F0569C"/>
    <w:rsid w:val="00F05C52"/>
    <w:rsid w:val="00F05D0C"/>
    <w:rsid w:val="00F06EE6"/>
    <w:rsid w:val="00F07B48"/>
    <w:rsid w:val="00F108D6"/>
    <w:rsid w:val="00F10A04"/>
    <w:rsid w:val="00F13A5F"/>
    <w:rsid w:val="00F14B5E"/>
    <w:rsid w:val="00F157AA"/>
    <w:rsid w:val="00F15B0B"/>
    <w:rsid w:val="00F15C93"/>
    <w:rsid w:val="00F173C3"/>
    <w:rsid w:val="00F200BC"/>
    <w:rsid w:val="00F21192"/>
    <w:rsid w:val="00F21A8B"/>
    <w:rsid w:val="00F21ACD"/>
    <w:rsid w:val="00F23197"/>
    <w:rsid w:val="00F2384E"/>
    <w:rsid w:val="00F23DE9"/>
    <w:rsid w:val="00F2455A"/>
    <w:rsid w:val="00F24BCE"/>
    <w:rsid w:val="00F259A5"/>
    <w:rsid w:val="00F2615C"/>
    <w:rsid w:val="00F27419"/>
    <w:rsid w:val="00F27624"/>
    <w:rsid w:val="00F27FE1"/>
    <w:rsid w:val="00F30A39"/>
    <w:rsid w:val="00F31ECE"/>
    <w:rsid w:val="00F32600"/>
    <w:rsid w:val="00F3290E"/>
    <w:rsid w:val="00F33345"/>
    <w:rsid w:val="00F337E0"/>
    <w:rsid w:val="00F33B5D"/>
    <w:rsid w:val="00F33D04"/>
    <w:rsid w:val="00F34B7C"/>
    <w:rsid w:val="00F34CD8"/>
    <w:rsid w:val="00F3632A"/>
    <w:rsid w:val="00F37524"/>
    <w:rsid w:val="00F37EE6"/>
    <w:rsid w:val="00F408D8"/>
    <w:rsid w:val="00F4309B"/>
    <w:rsid w:val="00F435C4"/>
    <w:rsid w:val="00F43797"/>
    <w:rsid w:val="00F44E46"/>
    <w:rsid w:val="00F453DB"/>
    <w:rsid w:val="00F468F2"/>
    <w:rsid w:val="00F46C60"/>
    <w:rsid w:val="00F46ECD"/>
    <w:rsid w:val="00F47122"/>
    <w:rsid w:val="00F472DD"/>
    <w:rsid w:val="00F475FC"/>
    <w:rsid w:val="00F476D8"/>
    <w:rsid w:val="00F47878"/>
    <w:rsid w:val="00F50AA1"/>
    <w:rsid w:val="00F51D0D"/>
    <w:rsid w:val="00F52D70"/>
    <w:rsid w:val="00F5390E"/>
    <w:rsid w:val="00F546A9"/>
    <w:rsid w:val="00F54CEB"/>
    <w:rsid w:val="00F552AA"/>
    <w:rsid w:val="00F55C0F"/>
    <w:rsid w:val="00F56123"/>
    <w:rsid w:val="00F562D1"/>
    <w:rsid w:val="00F57137"/>
    <w:rsid w:val="00F6045D"/>
    <w:rsid w:val="00F607B0"/>
    <w:rsid w:val="00F60B34"/>
    <w:rsid w:val="00F61F58"/>
    <w:rsid w:val="00F623FB"/>
    <w:rsid w:val="00F63DE1"/>
    <w:rsid w:val="00F6437A"/>
    <w:rsid w:val="00F644F0"/>
    <w:rsid w:val="00F668CC"/>
    <w:rsid w:val="00F67162"/>
    <w:rsid w:val="00F701E9"/>
    <w:rsid w:val="00F72D87"/>
    <w:rsid w:val="00F7331E"/>
    <w:rsid w:val="00F75391"/>
    <w:rsid w:val="00F761F8"/>
    <w:rsid w:val="00F768C6"/>
    <w:rsid w:val="00F76CEF"/>
    <w:rsid w:val="00F771FE"/>
    <w:rsid w:val="00F773D1"/>
    <w:rsid w:val="00F779E6"/>
    <w:rsid w:val="00F77F31"/>
    <w:rsid w:val="00F83203"/>
    <w:rsid w:val="00F83479"/>
    <w:rsid w:val="00F834FC"/>
    <w:rsid w:val="00F840F4"/>
    <w:rsid w:val="00F84460"/>
    <w:rsid w:val="00F84881"/>
    <w:rsid w:val="00F856AA"/>
    <w:rsid w:val="00F86CE3"/>
    <w:rsid w:val="00F86E9E"/>
    <w:rsid w:val="00F8785A"/>
    <w:rsid w:val="00F91074"/>
    <w:rsid w:val="00F9184A"/>
    <w:rsid w:val="00F93E95"/>
    <w:rsid w:val="00F9419C"/>
    <w:rsid w:val="00F9427C"/>
    <w:rsid w:val="00F94318"/>
    <w:rsid w:val="00F9478B"/>
    <w:rsid w:val="00FA0090"/>
    <w:rsid w:val="00FA0606"/>
    <w:rsid w:val="00FA099C"/>
    <w:rsid w:val="00FA0ADD"/>
    <w:rsid w:val="00FA0CF9"/>
    <w:rsid w:val="00FA0ECB"/>
    <w:rsid w:val="00FA0F56"/>
    <w:rsid w:val="00FA156A"/>
    <w:rsid w:val="00FA43E4"/>
    <w:rsid w:val="00FA4D44"/>
    <w:rsid w:val="00FA4E0B"/>
    <w:rsid w:val="00FA5201"/>
    <w:rsid w:val="00FA5993"/>
    <w:rsid w:val="00FB094D"/>
    <w:rsid w:val="00FB1ACC"/>
    <w:rsid w:val="00FB2E6C"/>
    <w:rsid w:val="00FB311C"/>
    <w:rsid w:val="00FB458E"/>
    <w:rsid w:val="00FB4BB7"/>
    <w:rsid w:val="00FB4D51"/>
    <w:rsid w:val="00FB4D65"/>
    <w:rsid w:val="00FB4ED6"/>
    <w:rsid w:val="00FB5966"/>
    <w:rsid w:val="00FB5DD5"/>
    <w:rsid w:val="00FB639B"/>
    <w:rsid w:val="00FB6C8F"/>
    <w:rsid w:val="00FB70A0"/>
    <w:rsid w:val="00FB772B"/>
    <w:rsid w:val="00FB7B35"/>
    <w:rsid w:val="00FC0066"/>
    <w:rsid w:val="00FC0196"/>
    <w:rsid w:val="00FC06CA"/>
    <w:rsid w:val="00FC0763"/>
    <w:rsid w:val="00FC1106"/>
    <w:rsid w:val="00FC1C39"/>
    <w:rsid w:val="00FC1FB1"/>
    <w:rsid w:val="00FC20EC"/>
    <w:rsid w:val="00FC2994"/>
    <w:rsid w:val="00FC2A29"/>
    <w:rsid w:val="00FC2D0F"/>
    <w:rsid w:val="00FC2DDD"/>
    <w:rsid w:val="00FC34DB"/>
    <w:rsid w:val="00FC3995"/>
    <w:rsid w:val="00FC52A6"/>
    <w:rsid w:val="00FC54FF"/>
    <w:rsid w:val="00FC57DE"/>
    <w:rsid w:val="00FC5D01"/>
    <w:rsid w:val="00FC5D05"/>
    <w:rsid w:val="00FC610C"/>
    <w:rsid w:val="00FC66D1"/>
    <w:rsid w:val="00FC793A"/>
    <w:rsid w:val="00FD0072"/>
    <w:rsid w:val="00FD0437"/>
    <w:rsid w:val="00FD0548"/>
    <w:rsid w:val="00FD1573"/>
    <w:rsid w:val="00FD2181"/>
    <w:rsid w:val="00FD2371"/>
    <w:rsid w:val="00FD2B20"/>
    <w:rsid w:val="00FD2D00"/>
    <w:rsid w:val="00FD2EDD"/>
    <w:rsid w:val="00FD3B43"/>
    <w:rsid w:val="00FD451B"/>
    <w:rsid w:val="00FD4F2B"/>
    <w:rsid w:val="00FD5010"/>
    <w:rsid w:val="00FD5209"/>
    <w:rsid w:val="00FD5A73"/>
    <w:rsid w:val="00FD6CD0"/>
    <w:rsid w:val="00FD7221"/>
    <w:rsid w:val="00FD77B4"/>
    <w:rsid w:val="00FE051A"/>
    <w:rsid w:val="00FE05EA"/>
    <w:rsid w:val="00FE06FC"/>
    <w:rsid w:val="00FE0B0A"/>
    <w:rsid w:val="00FE0BD9"/>
    <w:rsid w:val="00FE0DCF"/>
    <w:rsid w:val="00FE11B1"/>
    <w:rsid w:val="00FE195B"/>
    <w:rsid w:val="00FE1B68"/>
    <w:rsid w:val="00FE1E49"/>
    <w:rsid w:val="00FE2E56"/>
    <w:rsid w:val="00FE5C42"/>
    <w:rsid w:val="00FE5D5F"/>
    <w:rsid w:val="00FE6582"/>
    <w:rsid w:val="00FE6C29"/>
    <w:rsid w:val="00FE6D6A"/>
    <w:rsid w:val="00FE7150"/>
    <w:rsid w:val="00FF00E2"/>
    <w:rsid w:val="00FF0C2C"/>
    <w:rsid w:val="00FF0E88"/>
    <w:rsid w:val="00FF1E17"/>
    <w:rsid w:val="00FF2362"/>
    <w:rsid w:val="00FF2946"/>
    <w:rsid w:val="00FF37AE"/>
    <w:rsid w:val="00FF3CF9"/>
    <w:rsid w:val="00FF3DFE"/>
    <w:rsid w:val="00FF3EB9"/>
    <w:rsid w:val="00FF457B"/>
    <w:rsid w:val="00FF4B0E"/>
    <w:rsid w:val="00FF55A8"/>
    <w:rsid w:val="00FF690A"/>
    <w:rsid w:val="00FF785D"/>
    <w:rsid w:val="00FF790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it-IT"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11CCC"/>
  </w:style>
  <w:style w:type="paragraph" w:styleId="Titolo1">
    <w:name w:val="heading 1"/>
    <w:basedOn w:val="Paragrafoelenco"/>
    <w:next w:val="Normale"/>
    <w:link w:val="Titolo1Carattere"/>
    <w:uiPriority w:val="9"/>
    <w:qFormat/>
    <w:rsid w:val="00916D07"/>
    <w:pPr>
      <w:numPr>
        <w:numId w:val="2"/>
      </w:numPr>
      <w:jc w:val="center"/>
      <w:outlineLvl w:val="0"/>
    </w:pPr>
    <w:rPr>
      <w:i/>
    </w:rPr>
  </w:style>
  <w:style w:type="paragraph" w:styleId="Titolo2">
    <w:name w:val="heading 2"/>
    <w:basedOn w:val="Normale"/>
    <w:link w:val="Titolo2Carattere"/>
    <w:uiPriority w:val="9"/>
    <w:qFormat/>
    <w:rsid w:val="00EC551A"/>
    <w:pPr>
      <w:numPr>
        <w:numId w:val="7"/>
      </w:numPr>
      <w:ind w:left="426" w:hanging="426"/>
      <w:contextualSpacing/>
      <w:outlineLvl w:val="1"/>
    </w:pPr>
    <w:rPr>
      <w:rFonts w:cs="Arial"/>
      <w: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EC551A"/>
    <w:rPr>
      <w:rFonts w:cs="Arial"/>
      <w:i/>
      <w:szCs w:val="24"/>
    </w:rPr>
  </w:style>
  <w:style w:type="character" w:customStyle="1" w:styleId="apple-converted-space">
    <w:name w:val="apple-converted-space"/>
    <w:basedOn w:val="Carpredefinitoparagrafo"/>
    <w:rsid w:val="004B516E"/>
  </w:style>
  <w:style w:type="character" w:styleId="Collegamentoipertestuale">
    <w:name w:val="Hyperlink"/>
    <w:basedOn w:val="Carpredefinitoparagrafo"/>
    <w:uiPriority w:val="99"/>
    <w:unhideWhenUsed/>
    <w:rsid w:val="004B516E"/>
    <w:rPr>
      <w:color w:val="0000FF" w:themeColor="hyperlink"/>
      <w:u w:val="single"/>
    </w:rPr>
  </w:style>
  <w:style w:type="character" w:styleId="Collegamentovisitato">
    <w:name w:val="FollowedHyperlink"/>
    <w:basedOn w:val="Carpredefinitoparagrafo"/>
    <w:uiPriority w:val="99"/>
    <w:semiHidden/>
    <w:unhideWhenUsed/>
    <w:rsid w:val="00D26524"/>
    <w:rPr>
      <w:color w:val="800080" w:themeColor="followedHyperlink"/>
      <w:u w:val="single"/>
    </w:rPr>
  </w:style>
  <w:style w:type="table" w:styleId="Grigliatabella">
    <w:name w:val="Table Grid"/>
    <w:basedOn w:val="Tabellanormale"/>
    <w:uiPriority w:val="59"/>
    <w:rsid w:val="00A32C3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0346A2"/>
    <w:pPr>
      <w:ind w:left="720"/>
      <w:contextualSpacing/>
    </w:pPr>
  </w:style>
  <w:style w:type="character" w:customStyle="1" w:styleId="Titolo1Carattere">
    <w:name w:val="Titolo 1 Carattere"/>
    <w:basedOn w:val="Carpredefinitoparagrafo"/>
    <w:link w:val="Titolo1"/>
    <w:uiPriority w:val="9"/>
    <w:rsid w:val="00916D07"/>
    <w:rPr>
      <w:i/>
    </w:rPr>
  </w:style>
  <w:style w:type="paragraph" w:styleId="Testofumetto">
    <w:name w:val="Balloon Text"/>
    <w:basedOn w:val="Normale"/>
    <w:link w:val="TestofumettoCarattere"/>
    <w:uiPriority w:val="99"/>
    <w:semiHidden/>
    <w:unhideWhenUsed/>
    <w:rsid w:val="00F61F5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61F58"/>
    <w:rPr>
      <w:rFonts w:ascii="Tahoma" w:hAnsi="Tahoma" w:cs="Tahoma"/>
      <w:sz w:val="16"/>
      <w:szCs w:val="16"/>
    </w:rPr>
  </w:style>
  <w:style w:type="paragraph" w:styleId="Testonotaapidipagina">
    <w:name w:val="footnote text"/>
    <w:basedOn w:val="Normale"/>
    <w:link w:val="TestonotaapidipaginaCarattere"/>
    <w:uiPriority w:val="99"/>
    <w:unhideWhenUsed/>
    <w:rsid w:val="00EC551A"/>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EC551A"/>
    <w:rPr>
      <w:sz w:val="20"/>
      <w:szCs w:val="20"/>
    </w:rPr>
  </w:style>
  <w:style w:type="paragraph" w:styleId="Intestazione">
    <w:name w:val="header"/>
    <w:basedOn w:val="Normale"/>
    <w:link w:val="IntestazioneCarattere"/>
    <w:uiPriority w:val="99"/>
    <w:semiHidden/>
    <w:unhideWhenUsed/>
    <w:rsid w:val="005B70A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B70A0"/>
  </w:style>
  <w:style w:type="paragraph" w:styleId="Pidipagina">
    <w:name w:val="footer"/>
    <w:basedOn w:val="Normale"/>
    <w:link w:val="PidipaginaCarattere"/>
    <w:uiPriority w:val="99"/>
    <w:unhideWhenUsed/>
    <w:rsid w:val="005B70A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B70A0"/>
  </w:style>
  <w:style w:type="character" w:styleId="Rimandonotaapidipagina">
    <w:name w:val="footnote reference"/>
    <w:basedOn w:val="Carpredefinitoparagrafo"/>
    <w:uiPriority w:val="99"/>
    <w:semiHidden/>
    <w:unhideWhenUsed/>
    <w:rsid w:val="00041EAE"/>
    <w:rPr>
      <w:vertAlign w:val="superscript"/>
    </w:rPr>
  </w:style>
  <w:style w:type="paragraph" w:styleId="Titolosommario">
    <w:name w:val="TOC Heading"/>
    <w:basedOn w:val="Titolo1"/>
    <w:next w:val="Normale"/>
    <w:uiPriority w:val="39"/>
    <w:semiHidden/>
    <w:unhideWhenUsed/>
    <w:qFormat/>
    <w:rsid w:val="002E66D0"/>
    <w:pPr>
      <w:keepNext/>
      <w:keepLines/>
      <w:numPr>
        <w:numId w:val="0"/>
      </w:numPr>
      <w:spacing w:before="480" w:after="0"/>
      <w:contextualSpacing w:val="0"/>
      <w:jc w:val="left"/>
      <w:outlineLvl w:val="9"/>
    </w:pPr>
    <w:rPr>
      <w:rFonts w:asciiTheme="majorHAnsi" w:eastAsiaTheme="majorEastAsia" w:hAnsiTheme="majorHAnsi" w:cstheme="majorBidi"/>
      <w:b/>
      <w:bCs/>
      <w:i w:val="0"/>
      <w:color w:val="365F91" w:themeColor="accent1" w:themeShade="BF"/>
      <w:sz w:val="28"/>
      <w:szCs w:val="28"/>
    </w:rPr>
  </w:style>
  <w:style w:type="paragraph" w:styleId="Sommario1">
    <w:name w:val="toc 1"/>
    <w:basedOn w:val="Normale"/>
    <w:next w:val="Normale"/>
    <w:autoRedefine/>
    <w:uiPriority w:val="39"/>
    <w:unhideWhenUsed/>
    <w:rsid w:val="0076490F"/>
    <w:pPr>
      <w:tabs>
        <w:tab w:val="left" w:pos="440"/>
        <w:tab w:val="right" w:leader="dot" w:pos="9628"/>
      </w:tabs>
      <w:spacing w:after="100"/>
      <w:ind w:left="426" w:hanging="426"/>
    </w:pPr>
  </w:style>
  <w:style w:type="paragraph" w:styleId="Sommario2">
    <w:name w:val="toc 2"/>
    <w:basedOn w:val="Normale"/>
    <w:next w:val="Normale"/>
    <w:autoRedefine/>
    <w:uiPriority w:val="39"/>
    <w:unhideWhenUsed/>
    <w:rsid w:val="002E66D0"/>
    <w:pPr>
      <w:spacing w:after="100"/>
      <w:ind w:left="240"/>
    </w:pPr>
  </w:style>
</w:styles>
</file>

<file path=word/webSettings.xml><?xml version="1.0" encoding="utf-8"?>
<w:webSettings xmlns:r="http://schemas.openxmlformats.org/officeDocument/2006/relationships" xmlns:w="http://schemas.openxmlformats.org/wordprocessingml/2006/main">
  <w:divs>
    <w:div w:id="15037069">
      <w:bodyDiv w:val="1"/>
      <w:marLeft w:val="0"/>
      <w:marRight w:val="0"/>
      <w:marTop w:val="0"/>
      <w:marBottom w:val="0"/>
      <w:divBdr>
        <w:top w:val="none" w:sz="0" w:space="0" w:color="auto"/>
        <w:left w:val="none" w:sz="0" w:space="0" w:color="auto"/>
        <w:bottom w:val="none" w:sz="0" w:space="0" w:color="auto"/>
        <w:right w:val="none" w:sz="0" w:space="0" w:color="auto"/>
      </w:divBdr>
    </w:div>
    <w:div w:id="279337637">
      <w:bodyDiv w:val="1"/>
      <w:marLeft w:val="0"/>
      <w:marRight w:val="0"/>
      <w:marTop w:val="0"/>
      <w:marBottom w:val="0"/>
      <w:divBdr>
        <w:top w:val="none" w:sz="0" w:space="0" w:color="auto"/>
        <w:left w:val="none" w:sz="0" w:space="0" w:color="auto"/>
        <w:bottom w:val="none" w:sz="0" w:space="0" w:color="auto"/>
        <w:right w:val="none" w:sz="0" w:space="0" w:color="auto"/>
      </w:divBdr>
    </w:div>
    <w:div w:id="800613641">
      <w:bodyDiv w:val="1"/>
      <w:marLeft w:val="0"/>
      <w:marRight w:val="0"/>
      <w:marTop w:val="0"/>
      <w:marBottom w:val="0"/>
      <w:divBdr>
        <w:top w:val="none" w:sz="0" w:space="0" w:color="auto"/>
        <w:left w:val="none" w:sz="0" w:space="0" w:color="auto"/>
        <w:bottom w:val="none" w:sz="0" w:space="0" w:color="auto"/>
        <w:right w:val="none" w:sz="0" w:space="0" w:color="auto"/>
      </w:divBdr>
    </w:div>
    <w:div w:id="1205212810">
      <w:bodyDiv w:val="1"/>
      <w:marLeft w:val="0"/>
      <w:marRight w:val="0"/>
      <w:marTop w:val="0"/>
      <w:marBottom w:val="0"/>
      <w:divBdr>
        <w:top w:val="none" w:sz="0" w:space="0" w:color="auto"/>
        <w:left w:val="none" w:sz="0" w:space="0" w:color="auto"/>
        <w:bottom w:val="none" w:sz="0" w:space="0" w:color="auto"/>
        <w:right w:val="none" w:sz="0" w:space="0" w:color="auto"/>
      </w:divBdr>
    </w:div>
    <w:div w:id="1363046140">
      <w:bodyDiv w:val="1"/>
      <w:marLeft w:val="0"/>
      <w:marRight w:val="0"/>
      <w:marTop w:val="0"/>
      <w:marBottom w:val="0"/>
      <w:divBdr>
        <w:top w:val="none" w:sz="0" w:space="0" w:color="auto"/>
        <w:left w:val="none" w:sz="0" w:space="0" w:color="auto"/>
        <w:bottom w:val="none" w:sz="0" w:space="0" w:color="auto"/>
        <w:right w:val="none" w:sz="0" w:space="0" w:color="auto"/>
      </w:divBdr>
    </w:div>
    <w:div w:id="1688215786">
      <w:bodyDiv w:val="1"/>
      <w:marLeft w:val="0"/>
      <w:marRight w:val="0"/>
      <w:marTop w:val="0"/>
      <w:marBottom w:val="0"/>
      <w:divBdr>
        <w:top w:val="none" w:sz="0" w:space="0" w:color="auto"/>
        <w:left w:val="none" w:sz="0" w:space="0" w:color="auto"/>
        <w:bottom w:val="none" w:sz="0" w:space="0" w:color="auto"/>
        <w:right w:val="none" w:sz="0" w:space="0" w:color="auto"/>
      </w:divBdr>
    </w:div>
    <w:div w:id="1700663937">
      <w:bodyDiv w:val="1"/>
      <w:marLeft w:val="0"/>
      <w:marRight w:val="0"/>
      <w:marTop w:val="0"/>
      <w:marBottom w:val="0"/>
      <w:divBdr>
        <w:top w:val="none" w:sz="0" w:space="0" w:color="auto"/>
        <w:left w:val="none" w:sz="0" w:space="0" w:color="auto"/>
        <w:bottom w:val="none" w:sz="0" w:space="0" w:color="auto"/>
        <w:right w:val="none" w:sz="0" w:space="0" w:color="auto"/>
      </w:divBdr>
    </w:div>
    <w:div w:id="1851480534">
      <w:bodyDiv w:val="1"/>
      <w:marLeft w:val="0"/>
      <w:marRight w:val="0"/>
      <w:marTop w:val="0"/>
      <w:marBottom w:val="0"/>
      <w:divBdr>
        <w:top w:val="none" w:sz="0" w:space="0" w:color="auto"/>
        <w:left w:val="none" w:sz="0" w:space="0" w:color="auto"/>
        <w:bottom w:val="none" w:sz="0" w:space="0" w:color="auto"/>
        <w:right w:val="none" w:sz="0" w:space="0" w:color="auto"/>
      </w:divBdr>
    </w:div>
    <w:div w:id="1974749332">
      <w:bodyDiv w:val="1"/>
      <w:marLeft w:val="0"/>
      <w:marRight w:val="0"/>
      <w:marTop w:val="0"/>
      <w:marBottom w:val="0"/>
      <w:divBdr>
        <w:top w:val="none" w:sz="0" w:space="0" w:color="auto"/>
        <w:left w:val="none" w:sz="0" w:space="0" w:color="auto"/>
        <w:bottom w:val="none" w:sz="0" w:space="0" w:color="auto"/>
        <w:right w:val="none" w:sz="0" w:space="0" w:color="auto"/>
      </w:divBdr>
    </w:div>
    <w:div w:id="21209499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079C41D-9DDA-4ADB-A67E-631991985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6159</Words>
  <Characters>35112</Characters>
  <Application>Microsoft Office Word</Application>
  <DocSecurity>0</DocSecurity>
  <Lines>292</Lines>
  <Paragraphs>82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AMelchiorri</dc:creator>
  <cp:lastModifiedBy>MMarche</cp:lastModifiedBy>
  <cp:revision>219</cp:revision>
  <cp:lastPrinted>2015-03-09T15:43:00Z</cp:lastPrinted>
  <dcterms:created xsi:type="dcterms:W3CDTF">2015-01-28T10:00:00Z</dcterms:created>
  <dcterms:modified xsi:type="dcterms:W3CDTF">2015-03-09T15:52:00Z</dcterms:modified>
</cp:coreProperties>
</file>